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26"/>
          <w:szCs w:val="26"/>
        </w:rPr>
        <w:t xml:space="preserve">INSTITUCIÓN UNIVERSITARIA DE BARRANQUILLA – IUB</w:t>
      </w:r>
    </w:p>
    <w:p>
      <w:pPr>
        <w:spacing w:after="400" w:before="60"/>
        <w:jc w:val="center"/>
      </w:pPr>
      <w:r>
        <w:rPr>
          <w:rFonts w:ascii="Arial" w:cs="Arial" w:eastAsia="Arial" w:hAnsi="Arial"/>
          <w:color w:val="595959"/>
          <w:sz w:val="20"/>
          <w:szCs w:val="20"/>
        </w:rPr>
        <w:t xml:space="preserve">Vicerrectoría Académica | Módulo ADM18</w:t>
      </w:r>
    </w:p>
    <w:p>
      <w:pPr>
        <w:pBdr>
          <w:bottom w:val="single" w:color="2E75B6" w:sz="10" w:space="1"/>
        </w:pBdr>
        <w:spacing w:after="200" w:before="200"/>
        <w:jc w:val="center"/>
      </w:pPr>
    </w:p>
    <w:p>
      <w:pPr>
        <w:spacing w:after="100" w:before="300"/>
        <w:jc w:val="center"/>
      </w:pPr>
      <w:r>
        <w:rPr>
          <w:rFonts w:ascii="Arial" w:cs="Arial" w:eastAsia="Arial" w:hAnsi="Arial"/>
          <w:b/>
          <w:bCs/>
          <w:color w:val="C00000"/>
          <w:sz w:val="40"/>
          <w:szCs w:val="40"/>
        </w:rPr>
        <w:t xml:space="preserve">SEMANA 2</w:t>
      </w:r>
    </w:p>
    <w:p>
      <w:pPr>
        <w:spacing w:after="80" w:before="80"/>
        <w:jc w:val="center"/>
      </w:pPr>
      <w:r>
        <w:rPr>
          <w:rFonts w:ascii="Arial" w:cs="Arial" w:eastAsia="Arial" w:hAnsi="Arial"/>
          <w:b/>
          <w:bCs/>
          <w:color w:val="1F4E79"/>
          <w:sz w:val="32"/>
          <w:szCs w:val="32"/>
        </w:rPr>
        <w:t xml:space="preserve">Clasificar para encontrar: Sistemas de Gestión Documental</w:t>
      </w:r>
    </w:p>
    <w:p>
      <w:pPr>
        <w:spacing w:after="300" w:before="60"/>
        <w:jc w:val="center"/>
      </w:pPr>
      <w:r>
        <w:rPr>
          <w:rFonts w:ascii="Arial" w:cs="Arial" w:eastAsia="Arial" w:hAnsi="Arial"/>
          <w:i/>
          <w:iCs/>
          <w:color w:val="2E75B6"/>
          <w:sz w:val="22"/>
          <w:szCs w:val="22"/>
        </w:rPr>
        <w:t xml:space="preserve">Actividad virtual asincrónica – BoxLatam recibe 10 documentos</w:t>
      </w:r>
    </w:p>
    <w:p>
      <w:pPr>
        <w:spacing w:after="0" w:before="0"/>
      </w:pPr>
      <w:r>
        <w:rPr>
          <w:sz w:val="20"/>
          <w:szCs w:val="2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ADM18 – Procesamiento de la Información en la Organización</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Docente</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Diego Domínguez</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Semana / Fechas</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Semana 2 – 25 al 30 de mayo de 2026 (Virtual – Microsoft Teams)</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 del módulo</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RA1 – Identificar las principales características de los documentos administrativos</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Hilo conductor</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BoxLatam S.A.S. – Empresa de casillero virtual</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Audiencia</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T.P. Comercio Exterior / T.P. Operaciones Empresariales</w:t>
            </w:r>
          </w:p>
        </w:tc>
      </w:tr>
    </w:tbl>
    <w:p>
      <w:pPr>
        <w:spacing w:after="0" w:before="0"/>
      </w:pPr>
      <w:r>
        <w:rPr>
          <w:sz w:val="20"/>
          <w:szCs w:val="20"/>
        </w:rPr>
        <w:t xml:space="preserve"/>
      </w:r>
    </w:p>
    <w:p>
      <w:pPr>
        <w:spacing w:after="0" w:before="0"/>
      </w:pPr>
      <w:r>
        <w:rPr>
          <w:sz w:val="20"/>
          <w:szCs w:val="20"/>
        </w:rPr>
        <w:t xml:space="preserve"/>
      </w:r>
    </w:p>
    <w:p>
      <w:pPr>
        <w:pBdr>
          <w:top w:val="single" w:color="2E75B6" w:sz="6" w:space="1"/>
        </w:pBdr>
        <w:spacing w:after="60" w:before="200"/>
        <w:jc w:val="center"/>
      </w:pPr>
      <w:r>
        <w:rPr>
          <w:rFonts w:ascii="Arial" w:cs="Arial" w:eastAsia="Arial" w:hAnsi="Arial"/>
          <w:i/>
          <w:iCs/>
          <w:color w:val="595959"/>
          <w:sz w:val="16"/>
          <w:szCs w:val="16"/>
        </w:rPr>
        <w:t xml:space="preserve">Guía contiene: Marco Teórico con fuentes primarias | Guía de clase (estilo OPI04) | Guía del estudiante | Rúbrica</w:t>
      </w:r>
    </w:p>
    <w:p>
      <w:r>
        <w:br w:type="page"/>
      </w:r>
    </w:p>
    <w:p>
      <w:pPr>
        <w:pStyle w:val="Heading1"/>
        <w:spacing w:after="120" w:before="300"/>
      </w:pPr>
      <w:r>
        <w:rPr>
          <w:rFonts w:ascii="Arial" w:cs="Arial" w:eastAsia="Arial" w:hAnsi="Arial"/>
          <w:b/>
          <w:bCs/>
          <w:color w:val="1F4E79"/>
          <w:sz w:val="28"/>
          <w:szCs w:val="28"/>
        </w:rPr>
        <w:t xml:space="preserve">PARTE A – MARCO TEÓRICO CON FUENTES PRIMARIAS</w:t>
      </w:r>
    </w:p>
    <w:p>
      <w:pPr>
        <w:pStyle w:val="Heading2"/>
        <w:spacing w:after="80" w:before="200"/>
      </w:pPr>
      <w:r>
        <w:rPr>
          <w:rFonts w:ascii="Arial" w:cs="Arial" w:eastAsia="Arial" w:hAnsi="Arial"/>
          <w:b/>
          <w:bCs/>
          <w:color w:val="2E75B6"/>
          <w:sz w:val="24"/>
          <w:szCs w:val="24"/>
        </w:rPr>
        <w:t xml:space="preserve">A.1 ¿Por qué clasificar documentos? La perspectiva regulatoria colombiana</w:t>
      </w:r>
    </w:p>
    <w:p>
      <w:pPr>
        <w:spacing w:after="60" w:before="60"/>
        <w:jc w:val="both"/>
      </w:pPr>
      <w:r>
        <w:rPr>
          <w:rFonts w:ascii="Arial" w:cs="Arial" w:eastAsia="Arial" w:hAnsi="Arial"/>
          <w:b w:val="false"/>
          <w:bCs w:val="false"/>
          <w:i w:val="false"/>
          <w:iCs w:val="false"/>
          <w:color w:val="1A1A1A"/>
          <w:sz w:val="20"/>
          <w:szCs w:val="20"/>
        </w:rPr>
        <w:t xml:space="preserve">En Colombia, el marco regulatorio de la gestión documental en entidades que realizan funciones administrativas está definido por el Acuerdo 060 de 2001, expedido por el Archivo General de la Nación (AGN). El Acuerdo define las "comunicaciones oficiales" como "todas aquellas recibidas o producidas en el desarrollo de las funciones asignadas legalmente a una entidad, independientemente del medio utilizado" (AGN, Acuerdo 060, Art. 2). Esta definición es amplia: incluye correos físicos, electrónicos, faxes, mensajes WhatsApp institucionales y cualquier otro medio que respalde una decisión o acción organizacional.</w:t>
      </w:r>
    </w:p>
    <w:p>
      <w:pPr>
        <w:spacing w:after="40" w:before="40"/>
        <w:ind w:left="720"/>
      </w:pPr>
      <w:r>
        <w:rPr>
          <w:rFonts w:ascii="Arial" w:cs="Arial" w:eastAsia="Arial" w:hAnsi="Arial"/>
          <w:i/>
          <w:iCs/>
          <w:color w:val="595959"/>
          <w:sz w:val="16"/>
          <w:szCs w:val="16"/>
        </w:rPr>
        <w:t xml:space="preserve">Archivo General de la Nación – AGN Colombia (2001). Acuerdo 060 de 2001: Pautas para la administración de comunicaciones oficiales en las entidades públicas y las privadas que cumplen funciones públicas. AGN, Bogotá. Art. 2. Disponible en: https://normativa.archivogeneral.gov.co/acuerdo-060-de-2001/</w:t>
      </w:r>
    </w:p>
    <w:p>
      <w:pPr>
        <w:spacing w:after="0" w:before="0"/>
      </w:pPr>
      <w:r>
        <w:rPr>
          <w:sz w:val="20"/>
          <w:szCs w:val="20"/>
        </w:rPr>
        <w:t xml:space="preserve"/>
      </w:r>
    </w:p>
    <w:p>
      <w:pPr>
        <w:spacing w:after="60" w:before="60"/>
        <w:jc w:val="both"/>
      </w:pPr>
      <w:r>
        <w:rPr>
          <w:rFonts w:ascii="Arial" w:cs="Arial" w:eastAsia="Arial" w:hAnsi="Arial"/>
          <w:b w:val="false"/>
          <w:bCs w:val="false"/>
          <w:i w:val="false"/>
          <w:iCs w:val="false"/>
          <w:color w:val="1A1A1A"/>
          <w:sz w:val="20"/>
          <w:szCs w:val="20"/>
        </w:rPr>
        <w:t xml:space="preserve">El mismo Acuerdo establece que las comunicaciones se clasifican en: (1) comunicaciones recibidas, (2) comunicaciones enviadas, (3) comunicaciones internas. Esta clasificación tripartita es el sistema base sobre el cual se organiza toda la correspondencia en una empresa colombiana. En términos operativos, el AGN establece que cada entidad debe llevar un registro de comunicaciones oficiales (radicación) donde se anote como mínimo: nombre del remitente/destinatario, área responsable, número de radicado, fecha y hora de recibo, y tiempo de respuesta si aplica.</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 CONEXIÓN CON BOXLATAM: En una empresa de casillero virtual, la "radicación" tiene un equivalente operacional: el número de tracking (seguimiento). Cada paquete recibido en Miami recibe un ID de tracking que actúa como su número de radicado. Todos los documentos asociados a ese paquete (CN 22, lista de empaque, notificación al cliente, comprobante de entrega) se vinculan al mismo número. Esto es gestión documental en la práctica.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A.2 Principios internacionales de clasificación: ISO 15489-1:2016</w:t>
      </w:r>
    </w:p>
    <w:p>
      <w:pPr>
        <w:spacing w:after="60" w:before="60"/>
        <w:jc w:val="both"/>
      </w:pPr>
      <w:r>
        <w:rPr>
          <w:rFonts w:ascii="Arial" w:cs="Arial" w:eastAsia="Arial" w:hAnsi="Arial"/>
          <w:b w:val="false"/>
          <w:bCs w:val="false"/>
          <w:i w:val="false"/>
          <w:iCs w:val="false"/>
          <w:color w:val="1A1A1A"/>
          <w:sz w:val="20"/>
          <w:szCs w:val="20"/>
        </w:rPr>
        <w:t xml:space="preserve">La norma ISO 15489-1:2016 establece que la clasificación de documentos debe hacerse con base en funciones, actividades y transacciones de la organización, no por el tipo de soporte o por el área que los produce. Este principio, llamado "clasificación funcional", tiene implicaciones prácticas importantes: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Principio ISO 15489</w:t>
            </w:r>
          </w:p>
        </w:tc>
        <w:tc>
          <w:tcPr>
            <w:tcW w:type="dxa" w:w="7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Aplicación en BoxLatam</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Los documentos se clasifican por función, no por su medio o soporte</w:t>
            </w:r>
          </w:p>
        </w:tc>
        <w:tc>
          <w:tcPr>
            <w:tcW w:type="dxa" w:w="7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Un correo electrónico de reclamo de un cliente se clasifica igual que una carta física de reclamo: ambos son "documentos de gestión de clientes – reclamos".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La clasificación debe ser consistente y predecible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Todos en BoxLatam deben clasificar un "informe de paquetes demorados" en la misma categoría, independientemente de quién lo produzca.</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El sistema de clasificación debe reflejar la estructura de la organización</w:t>
            </w:r>
          </w:p>
        </w:tc>
        <w:tc>
          <w:tcPr>
            <w:tcW w:type="dxa" w:w="7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BoxLatam puede usar: (1) Documentos de operaciones, (2) Documentos de clientes, (3) Documentos de proveedores, (4) Documentos internos de administración.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Los metadatos son parte del documento</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El número de tracking, la fecha de recepción y el área responsable son parte del sistema documental, no información adicional.</w:t>
            </w:r>
          </w:p>
        </w:tc>
      </w:tr>
    </w:tbl>
    <w:p>
      <w:pPr>
        <w:spacing w:after="40" w:before="40"/>
        <w:ind w:left="720"/>
      </w:pPr>
      <w:r>
        <w:rPr>
          <w:rFonts w:ascii="Arial" w:cs="Arial" w:eastAsia="Arial" w:hAnsi="Arial"/>
          <w:i/>
          <w:iCs/>
          <w:color w:val="595959"/>
          <w:sz w:val="16"/>
          <w:szCs w:val="16"/>
        </w:rPr>
        <w:t xml:space="preserve">ISO (2016). ISO 15489-1:2016 – Information and documentation — Records management — Part 1: Concepts and principles. §4.2 "Functional classification of records". ISO, Ginebra.</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A.3 La trazabilidad documental en la cadena logística: GS1 Global Traceability Standard</w:t>
      </w:r>
    </w:p>
    <w:p>
      <w:pPr>
        <w:spacing w:after="60" w:before="60"/>
        <w:jc w:val="both"/>
      </w:pPr>
      <w:r>
        <w:rPr>
          <w:rFonts w:ascii="Arial" w:cs="Arial" w:eastAsia="Arial" w:hAnsi="Arial"/>
          <w:b w:val="false"/>
          <w:bCs w:val="false"/>
          <w:i w:val="false"/>
          <w:iCs w:val="false"/>
          <w:color w:val="1A1A1A"/>
          <w:sz w:val="20"/>
          <w:szCs w:val="20"/>
        </w:rPr>
        <w:t xml:space="preserve">El GS1 Global Traceability Standard (GTS) es el estándar internacional para la trazabilidad en cadenas de suministro. Publicado por GS1, la organización que administra los códigos de barras y los estándares de identificación global, este estándar define la trazabilidad como "la capacidad de rastrear la historia, aplicación o ubicación de lo que se está considerando a través de datos registrados" (GS1 GTS, 2017, §1.4).</w:t>
      </w:r>
    </w:p>
    <w:p>
      <w:pPr>
        <w:spacing w:after="60" w:before="60"/>
        <w:jc w:val="both"/>
      </w:pPr>
      <w:r>
        <w:rPr>
          <w:rFonts w:ascii="Arial" w:cs="Arial" w:eastAsia="Arial" w:hAnsi="Arial"/>
          <w:b w:val="false"/>
          <w:bCs w:val="false"/>
          <w:i w:val="false"/>
          <w:iCs w:val="false"/>
          <w:color w:val="1A1A1A"/>
          <w:sz w:val="20"/>
          <w:szCs w:val="20"/>
        </w:rPr>
        <w:t xml:space="preserve">Para una empresa de casillero virtual como BoxLatam, la trazabilidad documental implica que cada evento en la cadena (recepción en Miami, consolidación, vuelo, desaduanamiento, entrega) debe estar respaldado por un documento que registre: quién realizó la acción, cuándo, qué se movió y cuál fue el resultado. Esto es exactamente lo que la GTC 185 y el AGN Acuerdo 060 establecen desde el contexto colombiano.</w:t>
      </w:r>
    </w:p>
    <w:p>
      <w:pPr>
        <w:spacing w:after="40" w:before="40"/>
        <w:ind w:left="720"/>
      </w:pPr>
      <w:r>
        <w:rPr>
          <w:rFonts w:ascii="Arial" w:cs="Arial" w:eastAsia="Arial" w:hAnsi="Arial"/>
          <w:i/>
          <w:iCs/>
          <w:color w:val="595959"/>
          <w:sz w:val="16"/>
          <w:szCs w:val="16"/>
        </w:rPr>
        <w:t xml:space="preserve">GS1 (2017). GS1 Global Traceability Standard, Release 2.0. GS1 AISBL, Bruselas. §1.4 "Definition of traceability". Disponible en: https://www.gs1.org/standards/gs1-global-traceability-standard/current-standard</w:t>
      </w:r>
    </w:p>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B – GUÍA DE ACTIVIDAD VIRTUAL (SEMANA 2 ASINCRÓNICA)</w:t>
      </w:r>
    </w:p>
    <w:p>
      <w:pPr>
        <w:pStyle w:val="Heading2"/>
        <w:spacing w:after="80" w:before="200"/>
      </w:pPr>
      <w:r>
        <w:rPr>
          <w:rFonts w:ascii="Arial" w:cs="Arial" w:eastAsia="Arial" w:hAnsi="Arial"/>
          <w:b/>
          <w:bCs/>
          <w:color w:val="2E75B6"/>
          <w:sz w:val="24"/>
          <w:szCs w:val="24"/>
        </w:rPr>
        <w:t xml:space="preserve">B.1 Lineamientos de la actividad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MODALIDAD: Asincrónica virtual. Cada estudiante trabaja a su ritmo entre el lunes 25 y el viernes 30 de mayo de 2026. Plazo de entrega: viernes 30 de mayo, 6:00 p.m.
ACCESO: El enlace a la tabla compartida de Google Sheets se publicará en el aula virtual el lunes 25 de mayo. El enlace solo permite edición para los estudiantes matriculados.
RECURSO DE APOYO: Antes de comenzar, lee la sección C de esta guía (Guía del Estudiante). Si tienes dudas, puedes publicarlas en el foro de la semana en el aula virtual. El docente responderá los martes y jueves.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B.2 Descripción de la actividad</w:t>
      </w:r>
    </w:p>
    <w:p>
      <w:pPr>
        <w:spacing w:after="60" w:before="60"/>
        <w:jc w:val="both"/>
      </w:pPr>
      <w:r>
        <w:rPr>
          <w:rFonts w:ascii="Arial" w:cs="Arial" w:eastAsia="Arial" w:hAnsi="Arial"/>
          <w:b w:val="false"/>
          <w:bCs w:val="false"/>
          <w:i w:val="false"/>
          <w:iCs w:val="false"/>
          <w:color w:val="1A1A1A"/>
          <w:sz w:val="20"/>
          <w:szCs w:val="20"/>
        </w:rPr>
        <w:t xml:space="preserve">BoxLatam S.A.S. recibió esta semana un volumen inusual de documentos. El área administrativa los recibió todos pero no los clasificó. Tu misión como practicante es clasificar los 10 documentos en la tabla compartida, justificando cada clasificación.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95959" w:sz="8"/>
              <w:left w:val="single" w:color="595959" w:sz="8"/>
              <w:bottom w:val="single" w:color="595959" w:sz="8"/>
              <w:right w:val="single" w:color="595959" w:sz="8"/>
            </w:tcBorders>
            <w:shd w:fill="F2F2F2" w:val="clear"/>
            <w:tcMar>
              <w:top w:type="dxa" w:w="120"/>
              <w:left w:type="dxa" w:w="200"/>
              <w:bottom w:type="dxa" w:w="120"/>
              <w:right w:type="dxa" w:w="200"/>
            </w:tcMar>
          </w:tcPr>
          <w:p>
            <w:pPr>
              <w:jc w:val="left"/>
            </w:pPr>
            <w:r>
              <w:rPr>
                <w:rFonts w:ascii="Arial" w:cs="Arial" w:eastAsia="Arial" w:hAnsi="Arial"/>
                <w:color w:val="1A1A1A"/>
                <w:sz w:val="18"/>
                <w:szCs w:val="18"/>
              </w:rPr>
              <w:t xml:space="preserve">LOS 10 DOCUMENTOS DE BOXLATAM (disponibles en el aula virtual):
1. Correo electrónico: un cliente reclama que su paquete lleva 15 días sin noticias.
2. Formato CN 22: declaración aduanera de un paquete con ropa de marca.
3. Circular: BoxLatam informa a sus clientes el aumento del 12% en tarifas.
4. Memorando: el área de operaciones informa a gerencia sobre la falla del sistema de tracking.
5. Acta de reunión: registro del comité de crisis del viernes 7 de agosto.
6. Lista de empaque (packing list): contenido de un envío consolidado de 8 paquetes.
7. Guía aérea (AWB): documento emitido por la aerolínea para el transporte del envío.
8. Carta comercial: BoxLatam escribe a la aerolínea reclamando por los paquetes demorados.
9. Informe semanal: resumen de incidencias de la semana de la crisis.
10. Comprobante de entrega: registro de entrega al cliente con número de cédula y firma.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B.3 Instrucciones paso a paso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93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93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Instrucción</w:t>
            </w:r>
          </w:p>
        </w:tc>
      </w:tr>
      <w:tr>
        <w:tc>
          <w:tcPr>
            <w:tcW w:type="dxa" w:w="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Accede al enlace de Google Sheets publicado en el aula virtual. Busca tu nombre en la columna de estudiantes y ubica la fila que te corresponde.</w:t>
            </w:r>
          </w:p>
        </w:tc>
      </w:tr>
      <w:tr>
        <w:tc>
          <w:tcPr>
            <w:tcW w:type="dxa" w:w="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Lee cada documento brevemente (están resumidos en el aula virtual como tarjetas de texto).</w:t>
            </w:r>
          </w:p>
        </w:tc>
      </w:tr>
      <w:tr>
        <w:tc>
          <w:tcPr>
            <w:tcW w:type="dxa" w:w="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3</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Para cada documento, completa las 4 columnas: (A) Tipo de documento según GTC 185, (B) Función administrativa principal, (C) Dirección de la comunicación (interna/externa/ambas), (D) Justificación en máx. 2 oraciones.</w:t>
            </w:r>
          </w:p>
        </w:tc>
      </w:tr>
      <w:tr>
        <w:tc>
          <w:tcPr>
            <w:tcW w:type="dxa" w:w="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4</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Antes de entregar, revisa usando el checklist de autoevaluación en la pestaña "Checklist" del mismo archivo de Sheets.</w:t>
            </w:r>
          </w:p>
        </w:tc>
      </w:tr>
      <w:tr>
        <w:tc>
          <w:tcPr>
            <w:tcW w:type="dxa" w:w="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5</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Una vez completado, no cierres el archivo. La tabla permanece abierta para que el docente revise en la Semana 3.</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B.4 Checklist de autoevaluación (Parte C del Sheets)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93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93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Criterio de autoevaluación</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Completé los 10 documentos (ninguna celda vacía).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Usé los tipos de la GTC 185 (no inventé categorías).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Diferenciación interna/externa es coherente con el destinatario del documento.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 justificación menciona la función, no solo el nombre del tipo.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w:t>
            </w:r>
          </w:p>
        </w:tc>
        <w:tc>
          <w:tcPr>
            <w:tcW w:type="dxa" w:w="9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Revisé la ortografía de mis justificaciones.</w:t>
            </w:r>
          </w:p>
        </w:tc>
      </w:tr>
    </w:tbl>
    <w:p>
      <w:pPr>
        <w:spacing w:after="0" w:before="0"/>
      </w:pPr>
      <w:r>
        <w:rPr>
          <w:sz w:val="20"/>
          <w:szCs w:val="20"/>
        </w:rPr>
        <w:t xml:space="preserve"/>
      </w:r>
    </w:p>
    <w:p>
      <w:r>
        <w:br w:type="page"/>
      </w:r>
    </w:p>
    <w:p>
      <w:pPr>
        <w:pStyle w:val="Heading1"/>
        <w:spacing w:after="120" w:before="300"/>
      </w:pPr>
      <w:r>
        <w:rPr>
          <w:rFonts w:ascii="Arial" w:cs="Arial" w:eastAsia="Arial" w:hAnsi="Arial"/>
          <w:b/>
          <w:bCs/>
          <w:color w:val="1F4E79"/>
          <w:sz w:val="28"/>
          <w:szCs w:val="28"/>
        </w:rPr>
        <w:t xml:space="preserve">PARTE C – GUÍA DEL ESTUDIANTE (LECTURA AUTÓNOMA)</w:t>
      </w:r>
    </w:p>
    <w:p>
      <w:pPr>
        <w:pStyle w:val="Heading2"/>
        <w:spacing w:after="80" w:before="200"/>
      </w:pPr>
      <w:r>
        <w:rPr>
          <w:rFonts w:ascii="Arial" w:cs="Arial" w:eastAsia="Arial" w:hAnsi="Arial"/>
          <w:b/>
          <w:bCs/>
          <w:color w:val="2E75B6"/>
          <w:sz w:val="24"/>
          <w:szCs w:val="24"/>
        </w:rPr>
        <w:t xml:space="preserve">C.1 ¿Por qué clasificar documentos?</w:t>
      </w:r>
    </w:p>
    <w:p>
      <w:pPr>
        <w:spacing w:after="60" w:before="60"/>
        <w:jc w:val="both"/>
      </w:pPr>
      <w:r>
        <w:rPr>
          <w:rFonts w:ascii="Arial" w:cs="Arial" w:eastAsia="Arial" w:hAnsi="Arial"/>
          <w:b w:val="false"/>
          <w:bCs w:val="false"/>
          <w:i w:val="false"/>
          <w:iCs w:val="false"/>
          <w:color w:val="1A1A1A"/>
          <w:sz w:val="20"/>
          <w:szCs w:val="20"/>
        </w:rPr>
        <w:t xml:space="preserve">Imagina que BoxLatam recibe 200 paquetes al día. Por cada paquete se generan al menos 4 documentos. Eso es 800 documentos diarios. Sin un sistema de clasificación, en una semana hay 4.000 documentos desorganizados y es imposible saber si se respondió el reclamo del cliente #47, si la aerolínea ya procesó la guía aérea, o si la declaración de aduana está completa.</w:t>
      </w:r>
    </w:p>
    <w:p>
      <w:pPr>
        <w:spacing w:after="60" w:before="60"/>
        <w:jc w:val="both"/>
      </w:pPr>
      <w:r>
        <w:rPr>
          <w:rFonts w:ascii="Arial" w:cs="Arial" w:eastAsia="Arial" w:hAnsi="Arial"/>
          <w:b w:val="false"/>
          <w:bCs w:val="false"/>
          <w:i w:val="false"/>
          <w:iCs w:val="false"/>
          <w:color w:val="1A1A1A"/>
          <w:sz w:val="20"/>
          <w:szCs w:val="20"/>
        </w:rPr>
        <w:t xml:space="preserve">Clasificar documentos no es burocracia: es la diferencia entre una empresa que opera y una que colapsa. Las normas ISO 15489 y el Acuerdo 060 del AGN existen porque las organizaciones que los implementan reducen errores, responden más rápido y pueden demostrar legalmente lo que hicieron.</w:t>
      </w:r>
    </w:p>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C.2 Sistema de clasificación para practicar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left"/>
            </w:pPr>
            <w:r>
              <w:rPr>
                <w:rFonts w:ascii="Arial" w:cs="Arial" w:eastAsia="Arial" w:hAnsi="Arial"/>
                <w:color w:val="1A1A1A"/>
                <w:sz w:val="18"/>
                <w:szCs w:val="18"/>
              </w:rPr>
              <w:t xml:space="preserve">SISTEMA SIMPLIFICADO DE BOXLATAM (basado en GTC 185 y AGN Acuerdo 060):
GRUPO 1 – Comunicaciones con clientes:
   1A. Notificaciones al cliente (informa estado del paquete)
   1B. Reclamos recibidos (el cliente se queja)
   1C. Respuestas a reclamos (BoxLatam responde)
GRUPO 2 – Comunicaciones con proveedores:
   2A. Cartas comerciales a aerolíneas/transportistas
   2B. Contratos y facturas de proveedores
GRUPO 3 – Documentos logísticos internacionales:
   3A. Declaraciones aduaneras (CN 22, CN 23)
   3B. Guías aéreas (AWB), listas de empaque
GRUPO 4 – Documentos administrativos internos:
   4A. Memorandos entre áreas
   4B. Circulares al personal
   4C. Actas de reuniones
   4D. Informes de gestión</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C.3 Pregunta para reflexionar después de la actividad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left"/>
            </w:pPr>
            <w:r>
              <w:rPr>
                <w:rFonts w:ascii="Arial" w:cs="Arial" w:eastAsia="Arial" w:hAnsi="Arial"/>
                <w:color w:val="1A1A1A"/>
                <w:sz w:val="18"/>
                <w:szCs w:val="18"/>
              </w:rPr>
              <w:t xml:space="preserve">¿Qué pasaría si BoxLatam usara un sistema diferente para cada persona del equipo? Por ejemplo: el área de operaciones clasifica los documentos por paquete; el área de clientes los clasifica por cliente; contabilidad los clasifica por fecha. ¿Cómo afectaría esto a la toma de decisiones?
Escribe tu respuesta en el foro de la Semana 2 en el aula virtual. No hay respuesta única correcta. Queremos ver tu razonamiento.</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C.4 Referencias bibliográficas de la semana</w:t>
      </w:r>
    </w:p>
    <w:p>
      <w:pPr>
        <w:spacing w:after="40" w:before="40"/>
        <w:ind w:left="720"/>
      </w:pPr>
      <w:r>
        <w:rPr>
          <w:rFonts w:ascii="Arial" w:cs="Arial" w:eastAsia="Arial" w:hAnsi="Arial"/>
          <w:i/>
          <w:iCs/>
          <w:color w:val="595959"/>
          <w:sz w:val="16"/>
          <w:szCs w:val="16"/>
        </w:rPr>
        <w:t xml:space="preserve">AGN Colombia (2001). Acuerdo 060 – Pautas para la administración de comunicaciones oficiales. Art. 2–7. https://normativa.archivogeneral.gov.co/acuerdo-060-de-2001/</w:t>
      </w:r>
    </w:p>
    <w:p>
      <w:pPr>
        <w:spacing w:after="40" w:before="40"/>
        <w:ind w:left="720"/>
      </w:pPr>
      <w:r>
        <w:rPr>
          <w:rFonts w:ascii="Arial" w:cs="Arial" w:eastAsia="Arial" w:hAnsi="Arial"/>
          <w:i/>
          <w:iCs/>
          <w:color w:val="595959"/>
          <w:sz w:val="16"/>
          <w:szCs w:val="16"/>
        </w:rPr>
        <w:t xml:space="preserve">GS1 (2017). GS1 Global Traceability Standard, Release 2.0. GS1 AISBL, Bruselas. https://www.gs1.org/standards/gs1-global-traceability-standard/current-standard</w:t>
      </w:r>
    </w:p>
    <w:p>
      <w:pPr>
        <w:spacing w:after="40" w:before="40"/>
        <w:ind w:left="720"/>
      </w:pPr>
      <w:r>
        <w:rPr>
          <w:rFonts w:ascii="Arial" w:cs="Arial" w:eastAsia="Arial" w:hAnsi="Arial"/>
          <w:i/>
          <w:iCs/>
          <w:color w:val="595959"/>
          <w:sz w:val="16"/>
          <w:szCs w:val="16"/>
        </w:rPr>
        <w:t xml:space="preserve">ICONTEC (2009). GTC 185:2009 – Documentación Organizacional. ICONTEC, Bogotá.</w:t>
      </w:r>
    </w:p>
    <w:p>
      <w:pPr>
        <w:spacing w:after="40" w:before="40"/>
        <w:ind w:left="720"/>
      </w:pPr>
      <w:r>
        <w:rPr>
          <w:rFonts w:ascii="Arial" w:cs="Arial" w:eastAsia="Arial" w:hAnsi="Arial"/>
          <w:i/>
          <w:iCs/>
          <w:color w:val="595959"/>
          <w:sz w:val="16"/>
          <w:szCs w:val="16"/>
        </w:rPr>
        <w:t xml:space="preserve">ISO (2016). ISO 15489-1:2016 – Records management. §4 "Records management concepts and principles". ISO, Ginebra.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2026-05-21T17:14:47.916Z</dcterms:created>
  <dcterms:modified xsi:type="dcterms:W3CDTF">2026-05-21T17:14:47.916Z</dcterms:modified>
</cp:coreProperties>
</file>

<file path=docProps/custom.xml><?xml version="1.0" encoding="utf-8"?>
<Properties xmlns="http://schemas.openxmlformats.org/officeDocument/2006/custom-properties" xmlns:vt="http://schemas.openxmlformats.org/officeDocument/2006/docPropsVTypes"/>
</file>