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color w:val="1F4E79"/>
          <w:sz w:val="26"/>
          <w:szCs w:val="26"/>
        </w:rPr>
        <w:t xml:space="preserve">INSTITUCIÓN UNIVERSITARIA DE BARRANQUILLA – IUB</w:t>
      </w:r>
    </w:p>
    <w:p>
      <w:pPr>
        <w:spacing w:after="400" w:before="60"/>
        <w:jc w:val="center"/>
      </w:pPr>
      <w:r>
        <w:rPr>
          <w:rFonts w:ascii="Arial" w:cs="Arial" w:eastAsia="Arial" w:hAnsi="Arial"/>
          <w:color w:val="595959"/>
          <w:sz w:val="20"/>
          <w:szCs w:val="20"/>
        </w:rPr>
        <w:t xml:space="preserve">Vicerrectoría Académica | Módulo ADM18</w:t>
      </w:r>
    </w:p>
    <w:p>
      <w:pPr>
        <w:pBdr>
          <w:bottom w:val="single" w:color="2E75B6" w:sz="10" w:space="1"/>
        </w:pBdr>
        <w:spacing w:after="200" w:before="200"/>
        <w:jc w:val="center"/>
      </w:pPr>
    </w:p>
    <w:p>
      <w:pPr>
        <w:spacing w:after="100" w:before="300"/>
        <w:jc w:val="center"/>
      </w:pPr>
      <w:r>
        <w:rPr>
          <w:rFonts w:ascii="Arial" w:cs="Arial" w:eastAsia="Arial" w:hAnsi="Arial"/>
          <w:b/>
          <w:bCs/>
          <w:color w:val="C00000"/>
          <w:sz w:val="40"/>
          <w:szCs w:val="40"/>
        </w:rPr>
        <w:t xml:space="preserve">SEMANA 3</w:t>
      </w:r>
    </w:p>
    <w:p>
      <w:pPr>
        <w:spacing w:after="80" w:before="80"/>
        <w:jc w:val="center"/>
      </w:pPr>
      <w:r>
        <w:rPr>
          <w:rFonts w:ascii="Arial" w:cs="Arial" w:eastAsia="Arial" w:hAnsi="Arial"/>
          <w:b/>
          <w:bCs/>
          <w:color w:val="1F4E79"/>
          <w:sz w:val="32"/>
          <w:szCs w:val="32"/>
        </w:rPr>
        <w:t xml:space="preserve">La anatomía del documento: partes, zonas y lectura crítica</w:t>
      </w:r>
    </w:p>
    <w:p>
      <w:pPr>
        <w:spacing w:after="300" w:before="60"/>
        <w:jc w:val="center"/>
      </w:pPr>
      <w:r>
        <w:rPr>
          <w:rFonts w:ascii="Arial" w:cs="Arial" w:eastAsia="Arial" w:hAnsi="Arial"/>
          <w:i/>
          <w:iCs/>
          <w:color w:val="2E75B6"/>
          <w:sz w:val="22"/>
          <w:szCs w:val="22"/>
        </w:rPr>
        <w:t xml:space="preserve">Taller presencial – Interpretar documentos reales de BoxLatam</w:t>
      </w:r>
    </w:p>
    <w:p>
      <w:pPr>
        <w:spacing w:after="0" w:before="0"/>
      </w:pPr>
      <w:r>
        <w:rPr>
          <w:sz w:val="20"/>
          <w:szCs w:val="20"/>
        </w:rP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tblGrid>
      <w:tr>
        <w:tc>
          <w:tcPr>
            <w:tcW w:type="dxa" w:w="26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4E79"/>
                <w:sz w:val="18"/>
                <w:szCs w:val="18"/>
              </w:rPr>
              <w:t xml:space="preserve">Módulo</w:t>
            </w:r>
          </w:p>
        </w:tc>
        <w:tc>
          <w:tcPr>
            <w:tcW w:type="dxa" w:w="71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ADM18 – Procesamiento de la Información en la Organización</w:t>
            </w:r>
          </w:p>
        </w:tc>
      </w:tr>
      <w:tr>
        <w:tc>
          <w:tcPr>
            <w:tcW w:type="dxa" w:w="26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4E79"/>
                <w:sz w:val="18"/>
                <w:szCs w:val="18"/>
              </w:rPr>
              <w:t xml:space="preserve">Docente</w:t>
            </w:r>
          </w:p>
        </w:tc>
        <w:tc>
          <w:tcPr>
            <w:tcW w:type="dxa" w:w="71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Diego Domínguez</w:t>
            </w:r>
          </w:p>
        </w:tc>
      </w:tr>
      <w:tr>
        <w:tc>
          <w:tcPr>
            <w:tcW w:type="dxa" w:w="26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4E79"/>
                <w:sz w:val="18"/>
                <w:szCs w:val="18"/>
              </w:rPr>
              <w:t xml:space="preserve">Semana / Fechas</w:t>
            </w:r>
          </w:p>
        </w:tc>
        <w:tc>
          <w:tcPr>
            <w:tcW w:type="dxa" w:w="71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Semana 3 – 1 al 6 de junio de 2026</w:t>
            </w:r>
          </w:p>
        </w:tc>
      </w:tr>
      <w:tr>
        <w:tc>
          <w:tcPr>
            <w:tcW w:type="dxa" w:w="26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4E79"/>
                <w:sz w:val="18"/>
                <w:szCs w:val="18"/>
              </w:rPr>
              <w:t xml:space="preserve">RA del módulo</w:t>
            </w:r>
          </w:p>
        </w:tc>
        <w:tc>
          <w:tcPr>
            <w:tcW w:type="dxa" w:w="71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RA1 – Criterios: Interpretar partes/componentes de documentos | Distinguir concepto, usos y clases</w:t>
            </w:r>
          </w:p>
        </w:tc>
      </w:tr>
      <w:tr>
        <w:tc>
          <w:tcPr>
            <w:tcW w:type="dxa" w:w="26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4E79"/>
                <w:sz w:val="18"/>
                <w:szCs w:val="18"/>
              </w:rPr>
              <w:t xml:space="preserve">Hilo conductor</w:t>
            </w:r>
          </w:p>
        </w:tc>
        <w:tc>
          <w:tcPr>
            <w:tcW w:type="dxa" w:w="71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BoxLatam S.A.S. – Empresa de casillero virtual</w:t>
            </w:r>
          </w:p>
        </w:tc>
      </w:tr>
      <w:tr>
        <w:tc>
          <w:tcPr>
            <w:tcW w:type="dxa" w:w="26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4E79"/>
                <w:sz w:val="18"/>
                <w:szCs w:val="18"/>
              </w:rPr>
              <w:t xml:space="preserve">Audiencia</w:t>
            </w:r>
          </w:p>
        </w:tc>
        <w:tc>
          <w:tcPr>
            <w:tcW w:type="dxa" w:w="71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T.P. Comercio Exterior / T.P. Operaciones Empresariales</w:t>
            </w:r>
          </w:p>
        </w:tc>
      </w:tr>
    </w:tbl>
    <w:p>
      <w:pPr>
        <w:spacing w:after="0" w:before="0"/>
      </w:pPr>
      <w:r>
        <w:rPr>
          <w:sz w:val="20"/>
          <w:szCs w:val="20"/>
        </w:rPr>
        <w:t xml:space="preserve"/>
      </w:r>
    </w:p>
    <w:p>
      <w:pPr>
        <w:spacing w:after="0" w:before="0"/>
      </w:pPr>
      <w:r>
        <w:rPr>
          <w:sz w:val="20"/>
          <w:szCs w:val="20"/>
        </w:rPr>
        <w:t xml:space="preserve"/>
      </w:r>
    </w:p>
    <w:p>
      <w:pPr>
        <w:pBdr>
          <w:top w:val="single" w:color="2E75B6" w:sz="6" w:space="1"/>
        </w:pBdr>
        <w:spacing w:after="60" w:before="200"/>
        <w:jc w:val="center"/>
      </w:pPr>
      <w:r>
        <w:rPr>
          <w:rFonts w:ascii="Arial" w:cs="Arial" w:eastAsia="Arial" w:hAnsi="Arial"/>
          <w:i/>
          <w:iCs/>
          <w:color w:val="595959"/>
          <w:sz w:val="16"/>
          <w:szCs w:val="16"/>
        </w:rPr>
        <w:t xml:space="preserve">Guía contiene: Marco Teórico con fuentes primarias | Guía de clase (estilo OPI04) | Guía del estudiante | Rúbrica</w:t>
      </w:r>
    </w:p>
    <w:p>
      <w:r>
        <w:br w:type="page"/>
      </w:r>
    </w:p>
    <w:p>
      <w:pPr>
        <w:pStyle w:val="Heading1"/>
        <w:spacing w:after="120" w:before="300"/>
      </w:pPr>
      <w:r>
        <w:rPr>
          <w:rFonts w:ascii="Arial" w:cs="Arial" w:eastAsia="Arial" w:hAnsi="Arial"/>
          <w:b/>
          <w:bCs/>
          <w:color w:val="1F4E79"/>
          <w:sz w:val="28"/>
          <w:szCs w:val="28"/>
        </w:rPr>
        <w:t xml:space="preserve">PARTE A – MARCO TEÓRICO CON FUENTES PRIMARIAS</w:t>
      </w:r>
    </w:p>
    <w:p>
      <w:pPr>
        <w:pStyle w:val="Heading2"/>
        <w:spacing w:after="80" w:before="200"/>
      </w:pPr>
      <w:r>
        <w:rPr>
          <w:rFonts w:ascii="Arial" w:cs="Arial" w:eastAsia="Arial" w:hAnsi="Arial"/>
          <w:b/>
          <w:bCs/>
          <w:color w:val="2E75B6"/>
          <w:sz w:val="24"/>
          <w:szCs w:val="24"/>
        </w:rPr>
        <w:t xml:space="preserve">A.1 La estructura interna de los documentos: GTC 185 §4 y §5</w:t>
      </w:r>
    </w:p>
    <w:p>
      <w:pPr>
        <w:spacing w:after="60" w:before="60"/>
        <w:jc w:val="both"/>
      </w:pPr>
      <w:r>
        <w:rPr>
          <w:rFonts w:ascii="Arial" w:cs="Arial" w:eastAsia="Arial" w:hAnsi="Arial"/>
          <w:b w:val="false"/>
          <w:bCs w:val="false"/>
          <w:i w:val="false"/>
          <w:iCs w:val="false"/>
          <w:color w:val="1A1A1A"/>
          <w:sz w:val="20"/>
          <w:szCs w:val="20"/>
        </w:rPr>
        <w:t xml:space="preserve">La GTC 185:2009 establece en su sección §4 "Aspectos generales para las comunicaciones" los elementos estructurales que deben contener todos los documentos administrativos, independientemente de su tipo. Esta estructura responde a una lógica comunicativa universal: identifica quién escribe, para quién, desde dónde, qué quiere y qué espera. Los cinco componentes generales son:</w:t>
      </w:r>
    </w:p>
    <w:p>
      <w:pPr>
        <w:spacing w:after="0" w:before="0"/>
      </w:pPr>
      <w:r>
        <w:rPr>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746"/>
      </w:tblGrid>
      <w:tr>
        <w:tc>
          <w:tcPr>
            <w:tcW w:type="dxa" w:w="1400"/>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Zona del documento</w:t>
            </w:r>
          </w:p>
        </w:tc>
        <w:tc>
          <w:tcPr>
            <w:tcW w:type="dxa" w:w="1600"/>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Componentes según GTC 185</w:t>
            </w:r>
          </w:p>
        </w:tc>
        <w:tc>
          <w:tcPr>
            <w:tcW w:type="dxa" w:w="6746"/>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Equivalente en BoxLatam</w:t>
            </w:r>
          </w:p>
        </w:tc>
      </w:tr>
      <w:tr>
        <w:tc>
          <w:tcPr>
            <w:tcW w:type="dxa" w:w="14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7"/>
                <w:szCs w:val="17"/>
              </w:rPr>
              <w:t xml:space="preserve">ENCABEZADO</w:t>
            </w:r>
          </w:p>
        </w:tc>
        <w:tc>
          <w:tcPr>
            <w:tcW w:type="dxa" w:w="16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6"/>
                <w:szCs w:val="16"/>
              </w:rPr>
              <w:t xml:space="preserve">Logo/membrete, código, fecha, datos del destinatario</w:t>
            </w:r>
          </w:p>
        </w:tc>
        <w:tc>
          <w:tcPr>
            <w:tcW w:type="dxa" w:w="6746"/>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top"/>
          </w:tcPr>
          <w:p>
            <w:pPr>
              <w:jc w:val="left"/>
            </w:pPr>
            <w:r>
              <w:rPr>
                <w:rFonts w:ascii="Arial" w:cs="Arial" w:eastAsia="Arial" w:hAnsi="Arial"/>
                <w:b w:val="false"/>
                <w:bCs w:val="false"/>
                <w:i/>
                <w:iCs/>
                <w:color w:val="1A1A1A"/>
                <w:sz w:val="16"/>
                <w:szCs w:val="16"/>
              </w:rPr>
              <w:t xml:space="preserve">Logo BoxLatam, número de tracking, fecha de emisión, nombre y correo del cliente</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7"/>
                <w:szCs w:val="17"/>
              </w:rPr>
              <w:t xml:space="preserve">ASUNTO / REFERENCIA</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6"/>
                <w:szCs w:val="16"/>
              </w:rPr>
              <w:t xml:space="preserve">Línea que resume el tema del documento en max. 25 palabras</w:t>
            </w:r>
          </w:p>
        </w:tc>
        <w:tc>
          <w:tcPr>
            <w:tcW w:type="dxa" w:w="67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1A1A1A"/>
                <w:sz w:val="16"/>
                <w:szCs w:val="16"/>
              </w:rPr>
              <w:t xml:space="preserve">Asunto: "Información sobre estado de su paquete #BX-2026-0847"</w:t>
            </w:r>
          </w:p>
        </w:tc>
      </w:tr>
      <w:tr>
        <w:tc>
          <w:tcPr>
            <w:tcW w:type="dxa" w:w="14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7"/>
                <w:szCs w:val="17"/>
              </w:rPr>
              <w:t xml:space="preserve">CUERPO</w:t>
            </w:r>
          </w:p>
        </w:tc>
        <w:tc>
          <w:tcPr>
            <w:tcW w:type="dxa" w:w="16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6"/>
                <w:szCs w:val="16"/>
              </w:rPr>
              <w:t xml:space="preserve">Introducción (contexto), desarrollo (contenido), conclusión (cierre)</w:t>
            </w:r>
          </w:p>
        </w:tc>
        <w:tc>
          <w:tcPr>
            <w:tcW w:type="dxa" w:w="6746"/>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top"/>
          </w:tcPr>
          <w:p>
            <w:pPr>
              <w:jc w:val="left"/>
            </w:pPr>
            <w:r>
              <w:rPr>
                <w:rFonts w:ascii="Arial" w:cs="Arial" w:eastAsia="Arial" w:hAnsi="Arial"/>
                <w:b w:val="false"/>
                <w:bCs w:val="false"/>
                <w:i/>
                <w:iCs/>
                <w:color w:val="1A1A1A"/>
                <w:sz w:val="16"/>
                <w:szCs w:val="16"/>
              </w:rPr>
              <w:t xml:space="preserve">Párr. 1: notificación de llegada. Párr. 2: instrucciones de entrega. Párr. 3: contacto de servicio al cliente.</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7"/>
                <w:szCs w:val="17"/>
              </w:rPr>
              <w:t xml:space="preserve">DESPEDIDA / CIERRE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6"/>
                <w:szCs w:val="16"/>
              </w:rPr>
              <w:t xml:space="preserve">Fórmula de cierre apropiada al contexto</w:t>
            </w:r>
          </w:p>
        </w:tc>
        <w:tc>
          <w:tcPr>
            <w:tcW w:type="dxa" w:w="67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1A1A1A"/>
                <w:sz w:val="16"/>
                <w:szCs w:val="16"/>
              </w:rPr>
              <w:t xml:space="preserve">Cordialmente vs. Atentamente vs. Sin otro particular.</w:t>
            </w:r>
          </w:p>
        </w:tc>
      </w:tr>
      <w:tr>
        <w:tc>
          <w:tcPr>
            <w:tcW w:type="dxa" w:w="14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7"/>
                <w:szCs w:val="17"/>
              </w:rPr>
              <w:t xml:space="preserve">FIRMA Y DATOS DE QUIEN ESCRIBE</w:t>
            </w:r>
          </w:p>
        </w:tc>
        <w:tc>
          <w:tcPr>
            <w:tcW w:type="dxa" w:w="16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6"/>
                <w:szCs w:val="16"/>
              </w:rPr>
              <w:t xml:space="preserve">Nombre, cargo, extensión, correo electrónico</w:t>
            </w:r>
          </w:p>
        </w:tc>
        <w:tc>
          <w:tcPr>
            <w:tcW w:type="dxa" w:w="6746"/>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top"/>
          </w:tcPr>
          <w:p>
            <w:pPr>
              <w:jc w:val="left"/>
            </w:pPr>
            <w:r>
              <w:rPr>
                <w:rFonts w:ascii="Arial" w:cs="Arial" w:eastAsia="Arial" w:hAnsi="Arial"/>
                <w:b w:val="false"/>
                <w:bCs w:val="false"/>
                <w:i/>
                <w:iCs/>
                <w:color w:val="1A1A1A"/>
                <w:sz w:val="16"/>
                <w:szCs w:val="16"/>
              </w:rPr>
              <w:t xml:space="preserve">Coordinadora de Servicio al Cliente, BoxLatam S.A.S.</w:t>
            </w:r>
          </w:p>
        </w:tc>
      </w:tr>
    </w:tbl>
    <w:p>
      <w:pPr>
        <w:spacing w:after="40" w:before="40"/>
        <w:ind w:left="720"/>
      </w:pPr>
      <w:r>
        <w:rPr>
          <w:rFonts w:ascii="Arial" w:cs="Arial" w:eastAsia="Arial" w:hAnsi="Arial"/>
          <w:i/>
          <w:iCs/>
          <w:color w:val="595959"/>
          <w:sz w:val="16"/>
          <w:szCs w:val="16"/>
        </w:rPr>
        <w:t xml:space="preserve">ICONTEC (2009). GTC 185:2009 – Documentación Organizacional. §4 "Aspectos generales para las comunicaciones", pp. 4–12. ICONTEC, Bogotá.</w:t>
      </w:r>
    </w:p>
    <w:p>
      <w:pPr>
        <w:spacing w:after="0" w:before="0"/>
      </w:pPr>
      <w:r>
        <w:rPr>
          <w:sz w:val="20"/>
          <w:szCs w:val="20"/>
        </w:rPr>
        <w:t xml:space="preserve"/>
      </w:r>
    </w:p>
    <w:p>
      <w:pPr>
        <w:pStyle w:val="Heading2"/>
        <w:spacing w:after="80" w:before="200"/>
      </w:pPr>
      <w:r>
        <w:rPr>
          <w:rFonts w:ascii="Arial" w:cs="Arial" w:eastAsia="Arial" w:hAnsi="Arial"/>
          <w:b/>
          <w:bCs/>
          <w:color w:val="2E75B6"/>
          <w:sz w:val="24"/>
          <w:szCs w:val="24"/>
        </w:rPr>
        <w:t xml:space="preserve">A.2 Lectura crítica de documentos: más allá de la forma</w:t>
      </w:r>
    </w:p>
    <w:p>
      <w:pPr>
        <w:spacing w:after="60" w:before="60"/>
        <w:jc w:val="both"/>
      </w:pPr>
      <w:r>
        <w:rPr>
          <w:rFonts w:ascii="Arial" w:cs="Arial" w:eastAsia="Arial" w:hAnsi="Arial"/>
          <w:b w:val="false"/>
          <w:bCs w:val="false"/>
          <w:i w:val="false"/>
          <w:iCs w:val="false"/>
          <w:color w:val="1A1A1A"/>
          <w:sz w:val="20"/>
          <w:szCs w:val="20"/>
        </w:rPr>
        <w:t xml:space="preserve">Identificar las partes de un documento es el primer nivel de comprensión. El segundo nivel es interpretar: ¿qué intención tiene quien lo escribe? ¿qué acción espera de quien lo lee? ¿qué información presupone que el lector ya sabe? La ISO 15489-1:2016 (§5.2) establece que un buen documento debe ser: auténtico (prueba que quien lo firmó lo produjo), confiable (exacto y completo), íntegro (no ha sido alterado) y usable (puede ser recuperado y utilizado).</w:t>
      </w:r>
    </w:p>
    <w:p>
      <w:pPr>
        <w:spacing w:after="60" w:before="60"/>
        <w:jc w:val="both"/>
      </w:pPr>
      <w:r>
        <w:rPr>
          <w:rFonts w:ascii="Arial" w:cs="Arial" w:eastAsia="Arial" w:hAnsi="Arial"/>
          <w:b w:val="false"/>
          <w:bCs w:val="false"/>
          <w:i w:val="false"/>
          <w:iCs w:val="false"/>
          <w:color w:val="1A1A1A"/>
          <w:sz w:val="20"/>
          <w:szCs w:val="20"/>
        </w:rPr>
        <w:t xml:space="preserve">Estos cuatro atributos son el marco para evaluar cualquier documento que reciba o produzca una organización. En BoxLatam, un comprobante de entrega que solo tiene la fecha pero no la firma del cliente, o un reclamo que no tiene número de paquete, son documentos que fallan en los atributos de confiabilidad o usabilidad.</w:t>
      </w:r>
    </w:p>
    <w:p>
      <w:pPr>
        <w:spacing w:after="40" w:before="40"/>
        <w:ind w:left="720"/>
      </w:pPr>
      <w:r>
        <w:rPr>
          <w:rFonts w:ascii="Arial" w:cs="Arial" w:eastAsia="Arial" w:hAnsi="Arial"/>
          <w:i/>
          <w:iCs/>
          <w:color w:val="595959"/>
          <w:sz w:val="16"/>
          <w:szCs w:val="16"/>
        </w:rPr>
        <w:t xml:space="preserve">ISO (2016). ISO 15489-1:2016 – Information and documentation — Records management — Part 1. §5.2 "Records characteristics: authentic, reliable, integral, usable". ISO, Ginebra.</w:t>
      </w:r>
    </w:p>
    <w:p>
      <w:pPr>
        <w:spacing w:after="0" w:before="0"/>
      </w:pPr>
      <w:r>
        <w:rPr>
          <w:sz w:val="20"/>
          <w:szCs w:val="20"/>
        </w:rPr>
        <w:t xml:space="preserve"/>
      </w:r>
    </w:p>
    <w:p>
      <w:pPr>
        <w:pStyle w:val="Heading2"/>
        <w:spacing w:after="80" w:before="200"/>
      </w:pPr>
      <w:r>
        <w:rPr>
          <w:rFonts w:ascii="Arial" w:cs="Arial" w:eastAsia="Arial" w:hAnsi="Arial"/>
          <w:b/>
          <w:bCs/>
          <w:color w:val="2E75B6"/>
          <w:sz w:val="24"/>
          <w:szCs w:val="24"/>
        </w:rPr>
        <w:t xml:space="preserve">A.3 La importancia del número de radicado: el Acuerdo 060 AGN</w:t>
      </w:r>
    </w:p>
    <w:p>
      <w:pPr>
        <w:spacing w:after="60" w:before="60"/>
        <w:jc w:val="both"/>
      </w:pPr>
      <w:r>
        <w:rPr>
          <w:rFonts w:ascii="Arial" w:cs="Arial" w:eastAsia="Arial" w:hAnsi="Arial"/>
          <w:b w:val="false"/>
          <w:bCs w:val="false"/>
          <w:i w:val="false"/>
          <w:iCs w:val="false"/>
          <w:color w:val="1A1A1A"/>
          <w:sz w:val="20"/>
          <w:szCs w:val="20"/>
        </w:rPr>
        <w:t xml:space="preserve">El Acuerdo 060 de 2001 (AGN) establece en su artículo 3° que las entidades deben implementar "el registro de comunicaciones oficiales", el cual consiste en el procedimiento mediante el cual se ingresan a los sistemas manuales o automatizados todos los datos de las comunicaciones producidas o recibidas. En términos prácticos, el radicado es el número único que identifica a cada documento dentro de la organización y permite su trazabilidad a lo largo del tiempo.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375623" w:sz="8"/>
              <w:left w:val="single" w:color="375623" w:sz="8"/>
              <w:bottom w:val="single" w:color="375623" w:sz="8"/>
              <w:right w:val="single" w:color="375623" w:sz="8"/>
            </w:tcBorders>
            <w:shd w:fill="E2EFDA" w:val="clear"/>
            <w:tcMar>
              <w:top w:type="dxa" w:w="120"/>
              <w:left w:type="dxa" w:w="200"/>
              <w:bottom w:type="dxa" w:w="120"/>
              <w:right w:type="dxa" w:w="200"/>
            </w:tcMar>
          </w:tcPr>
          <w:p>
            <w:pPr>
              <w:jc w:val="left"/>
            </w:pPr>
            <w:r>
              <w:rPr>
                <w:rFonts w:ascii="Arial" w:cs="Arial" w:eastAsia="Arial" w:hAnsi="Arial"/>
                <w:color w:val="1A1A1A"/>
                <w:sz w:val="18"/>
                <w:szCs w:val="18"/>
              </w:rPr>
              <w:t xml:space="preserve">▶ CASO BOXLATAM: Cuando un cliente hace un reclamo, el sistema de BoxLatam asigna un número de caso (ej. CAS-2026-1247). Todos los documentos relacionados con ese reclamo (correo del cliente, respuesta de BoxLatam, gestión con la aerolínea, resolución final) deben llevar ese número en su asunto o referencia. Sin ese número, el historial del caso se fragmenta y no puede recuperarse. Esto es exactamente lo que el AGN llama "registro de comunicaciones oficiales".</w:t>
            </w:r>
          </w:p>
        </w:tc>
      </w:tr>
    </w:tbl>
    <w:p>
      <w:pPr>
        <w:spacing w:after="40" w:before="40"/>
        <w:ind w:left="720"/>
      </w:pPr>
      <w:r>
        <w:rPr>
          <w:rFonts w:ascii="Arial" w:cs="Arial" w:eastAsia="Arial" w:hAnsi="Arial"/>
          <w:i/>
          <w:iCs/>
          <w:color w:val="595959"/>
          <w:sz w:val="16"/>
          <w:szCs w:val="16"/>
        </w:rPr>
        <w:t xml:space="preserve">AGN Colombia (2001). Acuerdo 060 – Art. 3°: "Registro de comunicaciones oficiales". https://normativa.archivogeneral.gov.co/acuerdo-060-de-2001/</w:t>
      </w:r>
    </w:p>
    <w:p>
      <w:pPr>
        <w:spacing w:after="0" w:before="0"/>
      </w:pPr>
      <w:r>
        <w:rPr>
          <w:sz w:val="20"/>
          <w:szCs w:val="20"/>
        </w:rPr>
        <w:t xml:space="preserve"/>
      </w:r>
    </w:p>
    <w:p>
      <w:pPr>
        <w:pStyle w:val="Heading2"/>
        <w:spacing w:after="80" w:before="200"/>
      </w:pPr>
      <w:r>
        <w:rPr>
          <w:rFonts w:ascii="Arial" w:cs="Arial" w:eastAsia="Arial" w:hAnsi="Arial"/>
          <w:b/>
          <w:bCs/>
          <w:color w:val="2E75B6"/>
          <w:sz w:val="24"/>
          <w:szCs w:val="24"/>
        </w:rPr>
        <w:t xml:space="preserve">A.4 Documentos en el transporte internacional: estructura del AWB y el CN 23</w:t>
      </w:r>
    </w:p>
    <w:p>
      <w:pPr>
        <w:spacing w:after="60" w:before="60"/>
        <w:jc w:val="both"/>
      </w:pPr>
      <w:r>
        <w:rPr>
          <w:rFonts w:ascii="Arial" w:cs="Arial" w:eastAsia="Arial" w:hAnsi="Arial"/>
          <w:b w:val="false"/>
          <w:bCs w:val="false"/>
          <w:i w:val="false"/>
          <w:iCs w:val="false"/>
          <w:color w:val="1A1A1A"/>
          <w:sz w:val="20"/>
          <w:szCs w:val="20"/>
        </w:rPr>
        <w:t xml:space="preserve">En la operación logística internacional de BoxLatam, además de los documentos internos, se utilizan documentos estandarizados por organismos internacionales. Los dos más relevantes para comprender la trazabilidad de los paquetes son:</w:t>
      </w:r>
    </w:p>
    <w:p>
      <w:pPr>
        <w:spacing w:after="0" w:before="0"/>
      </w:pPr>
      <w:r>
        <w:rPr>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746"/>
      </w:tblGrid>
      <w:tr>
        <w:tc>
          <w:tcPr>
            <w:tcW w:type="dxa" w:w="1600"/>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Documento</w:t>
            </w:r>
          </w:p>
        </w:tc>
        <w:tc>
          <w:tcPr>
            <w:tcW w:type="dxa" w:w="1400"/>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Organismo emisor</w:t>
            </w:r>
          </w:p>
        </w:tc>
        <w:tc>
          <w:tcPr>
            <w:tcW w:type="dxa" w:w="6746"/>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Partes principales</w:t>
            </w:r>
          </w:p>
        </w:tc>
      </w:tr>
      <w:tr>
        <w:tc>
          <w:tcPr>
            <w:tcW w:type="dxa" w:w="16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Air Waybill (AWB) – Guía Aérea</w:t>
            </w:r>
          </w:p>
        </w:tc>
        <w:tc>
          <w:tcPr>
            <w:tcW w:type="dxa" w:w="14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IATA (International Air Transport Association)</w:t>
            </w:r>
          </w:p>
        </w:tc>
        <w:tc>
          <w:tcPr>
            <w:tcW w:type="dxa" w:w="6746"/>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1. Número AWB (11 dígitos). 2. Aerolínea emisora. 3. Aeropuerto de origen/destino. 4. Shipper (remitente). 5. Consignee (destinatario). 6. Descripción de la carga. 7. Peso y valor declarado. 8. Condiciones de transporte.</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CN 23 – Customs Declaration Parcel</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WCO/UPU (Organización Mundial de Aduanas / Unión Postal Universal)</w:t>
            </w:r>
          </w:p>
        </w:tc>
        <w:tc>
          <w:tcPr>
            <w:tcW w:type="dxa" w:w="674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1. Sender (remitente). 2. Addressee (destinatario). 3. Description of contents (descripción del contenido). 4. HS tariff number (opcional). 5. Country of origin. 6. Quantity/weight. 7. Value (valor). 8. Postage (tarifa postal). 9. Certification and signature.</w:t>
            </w:r>
          </w:p>
        </w:tc>
      </w:tr>
    </w:tbl>
    <w:p>
      <w:pPr>
        <w:spacing w:after="40" w:before="40"/>
        <w:ind w:left="720"/>
      </w:pPr>
      <w:r>
        <w:rPr>
          <w:rFonts w:ascii="Arial" w:cs="Arial" w:eastAsia="Arial" w:hAnsi="Arial"/>
          <w:i/>
          <w:iCs/>
          <w:color w:val="595959"/>
          <w:sz w:val="16"/>
          <w:szCs w:val="16"/>
        </w:rPr>
        <w:t xml:space="preserve">WCO/UPU (2024). Postal Customs Guide – Final Edition 2024. §IV.j.2 "CN 23 Customs declaration", pp. 40–41. WCO/UPU, Bruselas/Berna.</w:t>
      </w:r>
    </w:p>
    <w:p>
      <w:pPr>
        <w:spacing w:after="40" w:before="40"/>
        <w:ind w:left="720"/>
      </w:pPr>
      <w:r>
        <w:rPr>
          <w:rFonts w:ascii="Arial" w:cs="Arial" w:eastAsia="Arial" w:hAnsi="Arial"/>
          <w:i/>
          <w:iCs/>
          <w:color w:val="595959"/>
          <w:sz w:val="16"/>
          <w:szCs w:val="16"/>
        </w:rPr>
        <w:t xml:space="preserve">FIATA (2022). FIATA Model Rules for Freight Forwarding Services – Updated Edition. FIATA, Ginebra. §5 "Documentation standards". Disponible en: https://fiata.org/resources/</w:t>
      </w:r>
    </w:p>
    <w:p>
      <w:pPr>
        <w:spacing w:after="0" w:before="0"/>
      </w:pPr>
      <w:r>
        <w:rPr>
          <w:sz w:val="20"/>
          <w:szCs w:val="20"/>
        </w:rPr>
        <w:t xml:space="preserve"/>
      </w:r>
    </w:p>
    <w:p>
      <w:r>
        <w:br w:type="page"/>
      </w:r>
    </w:p>
    <w:p>
      <w:pPr>
        <w:pStyle w:val="Heading1"/>
        <w:spacing w:after="120" w:before="300"/>
      </w:pPr>
      <w:r>
        <w:rPr>
          <w:rFonts w:ascii="Arial" w:cs="Arial" w:eastAsia="Arial" w:hAnsi="Arial"/>
          <w:b/>
          <w:bCs/>
          <w:color w:val="1F4E79"/>
          <w:sz w:val="28"/>
          <w:szCs w:val="28"/>
        </w:rPr>
        <w:t xml:space="preserve">PARTE B – GUÍA DE CLASE (SEMANA 3 PRESENCIAL)</w:t>
      </w:r>
    </w:p>
    <w:p>
      <w:pPr>
        <w:pStyle w:val="Heading2"/>
        <w:spacing w:after="80" w:before="200"/>
      </w:pPr>
      <w:r>
        <w:rPr>
          <w:rFonts w:ascii="Arial" w:cs="Arial" w:eastAsia="Arial" w:hAnsi="Arial"/>
          <w:b/>
          <w:bCs/>
          <w:color w:val="2E75B6"/>
          <w:sz w:val="24"/>
          <w:szCs w:val="24"/>
        </w:rPr>
        <w:t xml:space="preserve">B.1 Objetivos de la sesión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375623" w:sz="8"/>
              <w:left w:val="single" w:color="375623" w:sz="8"/>
              <w:bottom w:val="single" w:color="375623" w:sz="8"/>
              <w:right w:val="single" w:color="375623" w:sz="8"/>
            </w:tcBorders>
            <w:shd w:fill="E2EFDA" w:val="clear"/>
            <w:tcMar>
              <w:top w:type="dxa" w:w="120"/>
              <w:left w:type="dxa" w:w="200"/>
              <w:bottom w:type="dxa" w:w="120"/>
              <w:right w:type="dxa" w:w="200"/>
            </w:tcMar>
          </w:tcPr>
          <w:p>
            <w:pPr>
              <w:jc w:val="left"/>
            </w:pPr>
            <w:r>
              <w:rPr>
                <w:rFonts w:ascii="Arial" w:cs="Arial" w:eastAsia="Arial" w:hAnsi="Arial"/>
                <w:color w:val="1A1A1A"/>
                <w:sz w:val="18"/>
                <w:szCs w:val="18"/>
              </w:rPr>
              <w:t xml:space="preserve">Objetivo general: Que el estudiante identifique y explique las partes de documentos administrativos reales de BoxLatam, aplicando los criterios de la GTC 185 y la ISO 15489.
Objetivos específicos:
• Identificar las zonas (encabezado, cuerpo, cierre) en al menos 3 tipos de documentos diferentes.
• Interpretar la intención comunicativa de cada documento analizando su función y sus destinatarios.
• Diferenciar documentos internos y externos, formales e informales, según los criterios estudiados.</w:t>
            </w:r>
          </w:p>
        </w:tc>
      </w:tr>
    </w:tbl>
    <w:p>
      <w:pPr>
        <w:spacing w:after="0" w:before="0"/>
      </w:pPr>
      <w:r>
        <w:rPr>
          <w:sz w:val="20"/>
          <w:szCs w:val="20"/>
        </w:rPr>
        <w:t xml:space="preserve"/>
      </w:r>
    </w:p>
    <w:p>
      <w:pPr>
        <w:pStyle w:val="Heading2"/>
        <w:spacing w:after="80" w:before="200"/>
      </w:pPr>
      <w:r>
        <w:rPr>
          <w:rFonts w:ascii="Arial" w:cs="Arial" w:eastAsia="Arial" w:hAnsi="Arial"/>
          <w:b/>
          <w:bCs/>
          <w:color w:val="2E75B6"/>
          <w:sz w:val="24"/>
          <w:szCs w:val="24"/>
        </w:rPr>
        <w:t xml:space="preserve">B.2 Estructura de la sesión (4 horas)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7846"/>
      </w:tblGrid>
      <w:tr>
        <w:tc>
          <w:tcPr>
            <w:tcW w:type="dxa" w:w="700"/>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Tiempo</w:t>
            </w:r>
          </w:p>
        </w:tc>
        <w:tc>
          <w:tcPr>
            <w:tcW w:type="dxa" w:w="1200"/>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Segmento</w:t>
            </w:r>
          </w:p>
        </w:tc>
        <w:tc>
          <w:tcPr>
            <w:tcW w:type="dxa" w:w="7846"/>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Descripción</w:t>
            </w:r>
          </w:p>
        </w:tc>
      </w:tr>
      <w:tr>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6"/>
                <w:szCs w:val="16"/>
              </w:rPr>
              <w:t xml:space="preserve">0:00–0:15</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6"/>
                <w:szCs w:val="16"/>
              </w:rPr>
              <w:t xml:space="preserve">Revisión S2</w:t>
            </w:r>
          </w:p>
        </w:tc>
        <w:tc>
          <w:tcPr>
            <w:tcW w:type="dxa" w:w="784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6"/>
                <w:szCs w:val="16"/>
              </w:rPr>
              <w:t xml:space="preserve">Revisar en plenaria la tabla de clasificación de la Semana 2. El docente proyecta la hoja de Sheets. Corregir los errores más comunes (10 min) y validar lo que estuvo bien (5 min).</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6"/>
                <w:szCs w:val="16"/>
              </w:rPr>
              <w:t xml:space="preserve">0:15–0:50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6"/>
                <w:szCs w:val="16"/>
              </w:rPr>
              <w:t xml:space="preserve">Clase: anatomía de un documento</w:t>
            </w:r>
          </w:p>
        </w:tc>
        <w:tc>
          <w:tcPr>
            <w:tcW w:type="dxa" w:w="78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6"/>
                <w:szCs w:val="16"/>
              </w:rPr>
              <w:t xml:space="preserve">Presentar las 5 zonas del documento (GTC 185 §4). Usar un memorando de BoxLatam proyectado. El docente señala cada zona en el documento real. 30 min de presentación + 5 min de preguntas.</w:t>
            </w:r>
          </w:p>
        </w:tc>
      </w:tr>
      <w:tr>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6"/>
                <w:szCs w:val="16"/>
              </w:rPr>
              <w:t xml:space="preserve">0:50–1:30</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6"/>
                <w:szCs w:val="16"/>
              </w:rPr>
              <w:t xml:space="preserve">Taller 1: Marcar zonas</w:t>
            </w:r>
          </w:p>
        </w:tc>
        <w:tc>
          <w:tcPr>
            <w:tcW w:type="dxa" w:w="784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6"/>
                <w:szCs w:val="16"/>
              </w:rPr>
              <w:t xml:space="preserve">En parejas, reciben 3 documentos impresos de BoxLatam (carta comercial, memorando, acta). Deben marcar con colores diferentes cada zona: encabezado (azul), asunto (amarillo), cuerpo (verde), cierre/firma (rojo). Tiempo: 40 min.</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6"/>
                <w:szCs w:val="16"/>
              </w:rPr>
              <w:t xml:space="preserve">1:30–1:45</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6"/>
                <w:szCs w:val="16"/>
              </w:rPr>
              <w:t xml:space="preserve">Descanso</w:t>
            </w:r>
          </w:p>
        </w:tc>
        <w:tc>
          <w:tcPr>
            <w:tcW w:type="dxa" w:w="78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6"/>
                <w:szCs w:val="16"/>
              </w:rPr>
              <w:t xml:space="preserve">—</w:t>
            </w:r>
          </w:p>
        </w:tc>
      </w:tr>
      <w:tr>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6"/>
                <w:szCs w:val="16"/>
              </w:rPr>
              <w:t xml:space="preserve">1:45–2:30</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6"/>
                <w:szCs w:val="16"/>
              </w:rPr>
              <w:t xml:space="preserve">Taller 2: Leer críticamente</w:t>
            </w:r>
          </w:p>
        </w:tc>
        <w:tc>
          <w:tcPr>
            <w:tcW w:type="dxa" w:w="784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6"/>
                <w:szCs w:val="16"/>
              </w:rPr>
              <w:t xml:space="preserve">Reciben 2 documentos de BoxLatam con errores intencionales (falta el asunto, el número de tracking, la fecha, o el nombre del destinatario). Deben identificar qué falta y por qué es un problema según GTC 185 y Acuerdo 060 AGN.</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6"/>
                <w:szCs w:val="16"/>
              </w:rPr>
              <w:t xml:space="preserve">2:30–3:15</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6"/>
                <w:szCs w:val="16"/>
              </w:rPr>
              <w:t xml:space="preserve">Taller 3: AWB y CN 23</w:t>
            </w:r>
          </w:p>
        </w:tc>
        <w:tc>
          <w:tcPr>
            <w:tcW w:type="dxa" w:w="78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6"/>
                <w:szCs w:val="16"/>
              </w:rPr>
              <w:t xml:space="preserve">Se muestra un AWB y un CN 23 de BoxLatam (ficticios pero con estructura real). Los estudiantes identifican las partes usando la guía de la Parte A §A.4. Discusión: ¿qué parte de estos documentos es más importante para el cliente? ¿y para la aduana?</w:t>
            </w:r>
          </w:p>
        </w:tc>
      </w:tr>
      <w:tr>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6"/>
                <w:szCs w:val="16"/>
              </w:rPr>
              <w:t xml:space="preserve">3:15–3:50</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6"/>
                <w:szCs w:val="16"/>
              </w:rPr>
              <w:t xml:space="preserve">Coevaluación</w:t>
            </w:r>
          </w:p>
        </w:tc>
        <w:tc>
          <w:tcPr>
            <w:tcW w:type="dxa" w:w="784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6"/>
                <w:szCs w:val="16"/>
              </w:rPr>
              <w:t xml:space="preserve">Los grupos intercambian sus talleres 1 y 2. Usando un checklist de 5 criterios, evalúan el trabajo de sus compañeros. Retroalimentación oral breve.</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6"/>
                <w:szCs w:val="16"/>
              </w:rPr>
              <w:t xml:space="preserve">3:50–4:00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6"/>
                <w:szCs w:val="16"/>
              </w:rPr>
              <w:t xml:space="preserve">Cierre</w:t>
            </w:r>
          </w:p>
        </w:tc>
        <w:tc>
          <w:tcPr>
            <w:tcW w:type="dxa" w:w="78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6"/>
                <w:szCs w:val="16"/>
              </w:rPr>
              <w:t xml:space="preserve">Orientaciones para Semana 4: cierre RA1 + inicio RA2 (redacción GTC 185).</w:t>
            </w:r>
          </w:p>
        </w:tc>
      </w:tr>
    </w:tbl>
    <w:p>
      <w:pPr>
        <w:spacing w:after="0" w:before="0"/>
      </w:pPr>
      <w:r>
        <w:rPr>
          <w:sz w:val="20"/>
          <w:szCs w:val="20"/>
        </w:rPr>
        <w:t xml:space="preserve"/>
      </w:r>
    </w:p>
    <w:p>
      <w:r>
        <w:br w:type="page"/>
      </w:r>
    </w:p>
    <w:p>
      <w:pPr>
        <w:pStyle w:val="Heading1"/>
        <w:spacing w:after="120" w:before="300"/>
      </w:pPr>
      <w:r>
        <w:rPr>
          <w:rFonts w:ascii="Arial" w:cs="Arial" w:eastAsia="Arial" w:hAnsi="Arial"/>
          <w:b/>
          <w:bCs/>
          <w:color w:val="1F4E79"/>
          <w:sz w:val="28"/>
          <w:szCs w:val="28"/>
        </w:rPr>
        <w:t xml:space="preserve">PARTE C – GUÍA DEL ESTUDIANTE</w:t>
      </w:r>
    </w:p>
    <w:p>
      <w:pPr>
        <w:pStyle w:val="Heading2"/>
        <w:spacing w:after="80" w:before="200"/>
      </w:pPr>
      <w:r>
        <w:rPr>
          <w:rFonts w:ascii="Arial" w:cs="Arial" w:eastAsia="Arial" w:hAnsi="Arial"/>
          <w:b/>
          <w:bCs/>
          <w:color w:val="2E75B6"/>
          <w:sz w:val="24"/>
          <w:szCs w:val="24"/>
        </w:rPr>
        <w:t xml:space="preserve">C.1 Preguntas guía para estudiar antes de clase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DEEAF1" w:val="clear"/>
            <w:tcMar>
              <w:top w:type="dxa" w:w="120"/>
              <w:left w:type="dxa" w:w="200"/>
              <w:bottom w:type="dxa" w:w="120"/>
              <w:right w:type="dxa" w:w="200"/>
            </w:tcMar>
          </w:tcPr>
          <w:p>
            <w:pPr>
              <w:jc w:val="left"/>
            </w:pPr>
            <w:r>
              <w:rPr>
                <w:rFonts w:ascii="Arial" w:cs="Arial" w:eastAsia="Arial" w:hAnsi="Arial"/>
                <w:color w:val="1A1A1A"/>
                <w:sz w:val="18"/>
                <w:szCs w:val="18"/>
              </w:rPr>
              <w:t xml:space="preserve">Lee estas preguntas antes de llegar. Si puedes responderlas, estás preparado para la sesión.
1. ¿Cuáles son las 5 zonas principales de un documento administrativo según GTC 185?
2. ¿Qué diferencia hay entre el "asunto" de una carta y el "cuerpo" de la misma?
3. ¿Por qué el número de radicado es importante para una empresa que maneja muchos documentos?
4. Si recibieras un documento de BoxLatam sin fecha ni nombre del destinatario, ¿qué atributo de la ISO 15489 estaría fallando?
5. ¿Qué información contiene un AWB que no contiene una circular interna?</w:t>
            </w:r>
          </w:p>
        </w:tc>
      </w:tr>
    </w:tbl>
    <w:p>
      <w:pPr>
        <w:spacing w:after="0" w:before="0"/>
      </w:pPr>
      <w:r>
        <w:rPr>
          <w:sz w:val="20"/>
          <w:szCs w:val="20"/>
        </w:rPr>
        <w:t xml:space="preserve"/>
      </w:r>
    </w:p>
    <w:p>
      <w:pPr>
        <w:pStyle w:val="Heading2"/>
        <w:spacing w:after="80" w:before="200"/>
      </w:pPr>
      <w:r>
        <w:rPr>
          <w:rFonts w:ascii="Arial" w:cs="Arial" w:eastAsia="Arial" w:hAnsi="Arial"/>
          <w:b/>
          <w:bCs/>
          <w:color w:val="2E75B6"/>
          <w:sz w:val="24"/>
          <w:szCs w:val="24"/>
        </w:rPr>
        <w:t xml:space="preserve">C.2 Los 4 atributos de un documento de calidad (ISO 15489)</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946"/>
      </w:tblGrid>
      <w:tr>
        <w:tc>
          <w:tcPr>
            <w:tcW w:type="dxa" w:w="1200"/>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Atributo</w:t>
            </w:r>
          </w:p>
        </w:tc>
        <w:tc>
          <w:tcPr>
            <w:tcW w:type="dxa" w:w="1600"/>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Definición ISO 15489</w:t>
            </w:r>
          </w:p>
        </w:tc>
        <w:tc>
          <w:tcPr>
            <w:tcW w:type="dxa" w:w="6946"/>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Cómo verificarlo en un documento de BoxLatam</w:t>
            </w:r>
          </w:p>
        </w:tc>
      </w:tr>
      <w:tr>
        <w:tc>
          <w:tcPr>
            <w:tcW w:type="dxa" w:w="12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Auténtico</w:t>
            </w:r>
          </w:p>
        </w:tc>
        <w:tc>
          <w:tcPr>
            <w:tcW w:type="dxa" w:w="16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top"/>
          </w:tcPr>
          <w:p>
            <w:pPr>
              <w:jc w:val="left"/>
            </w:pPr>
            <w:r>
              <w:rPr>
                <w:rFonts w:ascii="Arial" w:cs="Arial" w:eastAsia="Arial" w:hAnsi="Arial"/>
                <w:b w:val="false"/>
                <w:bCs w:val="false"/>
                <w:i/>
                <w:iCs/>
                <w:color w:val="1A1A1A"/>
                <w:sz w:val="16"/>
                <w:szCs w:val="16"/>
              </w:rPr>
              <w:t xml:space="preserve">Se puede probar que quien lo firmó lo produjo y que no ha sido alterado.</w:t>
            </w:r>
          </w:p>
        </w:tc>
        <w:tc>
          <w:tcPr>
            <w:tcW w:type="dxa" w:w="6946"/>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6"/>
                <w:szCs w:val="16"/>
              </w:rPr>
              <w:t xml:space="preserve">¿Tiene firma? ¿Tiene membrete oficial? ¿Coincide la fecha con el contexto?</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Confiable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1A1A1A"/>
                <w:sz w:val="16"/>
                <w:szCs w:val="16"/>
              </w:rPr>
              <w:t xml:space="preserve">El contenido es exacto y completo para representar la transacción.</w:t>
            </w:r>
          </w:p>
        </w:tc>
        <w:tc>
          <w:tcPr>
            <w:tcW w:type="dxa" w:w="69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6"/>
                <w:szCs w:val="16"/>
              </w:rPr>
              <w:t xml:space="preserve">¿Tiene número de tracking? ¿Tiene nombre del cliente? ¿Tiene descripción del contenido?</w:t>
            </w:r>
          </w:p>
        </w:tc>
      </w:tr>
      <w:tr>
        <w:tc>
          <w:tcPr>
            <w:tcW w:type="dxa" w:w="12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Íntegro</w:t>
            </w:r>
          </w:p>
        </w:tc>
        <w:tc>
          <w:tcPr>
            <w:tcW w:type="dxa" w:w="16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top"/>
          </w:tcPr>
          <w:p>
            <w:pPr>
              <w:jc w:val="left"/>
            </w:pPr>
            <w:r>
              <w:rPr>
                <w:rFonts w:ascii="Arial" w:cs="Arial" w:eastAsia="Arial" w:hAnsi="Arial"/>
                <w:b w:val="false"/>
                <w:bCs w:val="false"/>
                <w:i/>
                <w:iCs/>
                <w:color w:val="1A1A1A"/>
                <w:sz w:val="16"/>
                <w:szCs w:val="16"/>
              </w:rPr>
              <w:t xml:space="preserve">Está completo y no ha sido modificado sin autorización.</w:t>
            </w:r>
          </w:p>
        </w:tc>
        <w:tc>
          <w:tcPr>
            <w:tcW w:type="dxa" w:w="6946"/>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6"/>
                <w:szCs w:val="16"/>
              </w:rPr>
              <w:t xml:space="preserve">¿Hay partes tachadas o editadas sin nota? ¿El documento está completo (no le faltan páginas)?</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Usable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1A1A1A"/>
                <w:sz w:val="16"/>
                <w:szCs w:val="16"/>
              </w:rPr>
              <w:t xml:space="preserve">Puede ser recuperado, presentado e interpretado por cualquier usuario autorizado.</w:t>
            </w:r>
          </w:p>
        </w:tc>
        <w:tc>
          <w:tcPr>
            <w:tcW w:type="dxa" w:w="69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6"/>
                <w:szCs w:val="16"/>
              </w:rPr>
              <w:t xml:space="preserve">¿Está en formato estándar? ¿Tiene asunto claro? ¿Puede entenderse sin el contexto verbal?</w:t>
            </w:r>
          </w:p>
        </w:tc>
      </w:tr>
    </w:tbl>
    <w:p>
      <w:pPr>
        <w:spacing w:after="0" w:before="0"/>
      </w:pPr>
      <w:r>
        <w:rPr>
          <w:sz w:val="20"/>
          <w:szCs w:val="20"/>
        </w:rPr>
        <w:t xml:space="preserve"/>
      </w:r>
    </w:p>
    <w:p>
      <w:pPr>
        <w:pStyle w:val="Heading2"/>
        <w:spacing w:after="80" w:before="200"/>
      </w:pPr>
      <w:r>
        <w:rPr>
          <w:rFonts w:ascii="Arial" w:cs="Arial" w:eastAsia="Arial" w:hAnsi="Arial"/>
          <w:b/>
          <w:bCs/>
          <w:color w:val="2E75B6"/>
          <w:sz w:val="24"/>
          <w:szCs w:val="24"/>
        </w:rPr>
        <w:t xml:space="preserve">C.3 Checklist para el taller en clase (autoevaluación previa)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
        <w:gridCol w:w="9446"/>
      </w:tblGrid>
      <w:tr>
        <w:tc>
          <w:tcPr>
            <w:tcW w:type="dxa" w:w="300"/>
            <w:tcBorders>
              <w:top w:val="single" w:color="2E75B6" w:sz="6"/>
              <w:left w:val="single" w:color="2E75B6" w:sz="6"/>
              <w:bottom w:val="single" w:color="2E75B6" w:sz="6"/>
              <w:right w:val="single" w:color="2E75B6" w:sz="6"/>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
            </w:r>
          </w:p>
        </w:tc>
        <w:tc>
          <w:tcPr>
            <w:tcW w:type="dxa" w:w="9446"/>
            <w:tcBorders>
              <w:top w:val="single" w:color="2E75B6" w:sz="6"/>
              <w:left w:val="single" w:color="2E75B6" w:sz="6"/>
              <w:bottom w:val="single" w:color="2E75B6" w:sz="6"/>
              <w:right w:val="single" w:color="2E75B6" w:sz="6"/>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Antes de entregarle al compañero para coevaluación, verifica:</w:t>
            </w:r>
          </w:p>
        </w:tc>
      </w:tr>
      <w:tr>
        <w:tc>
          <w:tcPr>
            <w:tcW w:type="dxa" w:w="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w:t>
            </w:r>
          </w:p>
        </w:tc>
        <w:tc>
          <w:tcPr>
            <w:tcW w:type="dxa" w:w="944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Marqué las 5 zonas del documento con colores diferentes.</w:t>
            </w:r>
          </w:p>
        </w:tc>
      </w:tr>
      <w:tr>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w:t>
            </w:r>
          </w:p>
        </w:tc>
        <w:tc>
          <w:tcPr>
            <w:tcW w:type="dxa" w:w="94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Identifiqué correctamente el asunto o referencia del documento.</w:t>
            </w:r>
          </w:p>
        </w:tc>
      </w:tr>
      <w:tr>
        <w:tc>
          <w:tcPr>
            <w:tcW w:type="dxa" w:w="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w:t>
            </w:r>
          </w:p>
        </w:tc>
        <w:tc>
          <w:tcPr>
            <w:tcW w:type="dxa" w:w="944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Si había errores intencionales, los identifiqué todos y expliqué por qué son un problema.</w:t>
            </w:r>
          </w:p>
        </w:tc>
      </w:tr>
      <w:tr>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w:t>
            </w:r>
          </w:p>
        </w:tc>
        <w:tc>
          <w:tcPr>
            <w:tcW w:type="dxa" w:w="94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Mi análisis del AWB o CN 23 incluye al menos 5 partes nombradas correctamente.</w:t>
            </w:r>
          </w:p>
        </w:tc>
      </w:tr>
      <w:tr>
        <w:tc>
          <w:tcPr>
            <w:tcW w:type="dxa" w:w="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w:t>
            </w:r>
          </w:p>
        </w:tc>
        <w:tc>
          <w:tcPr>
            <w:tcW w:type="dxa" w:w="944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Mis justificaciones usan términos de la GTC 185, no términos inventados.</w:t>
            </w:r>
          </w:p>
        </w:tc>
      </w:tr>
    </w:tbl>
    <w:p>
      <w:pPr>
        <w:spacing w:after="0" w:before="0"/>
      </w:pPr>
      <w:r>
        <w:rPr>
          <w:sz w:val="20"/>
          <w:szCs w:val="20"/>
        </w:rPr>
        <w:t xml:space="preserve"/>
      </w:r>
    </w:p>
    <w:p>
      <w:pPr>
        <w:pStyle w:val="Heading2"/>
        <w:spacing w:after="80" w:before="200"/>
      </w:pPr>
      <w:r>
        <w:rPr>
          <w:rFonts w:ascii="Arial" w:cs="Arial" w:eastAsia="Arial" w:hAnsi="Arial"/>
          <w:b/>
          <w:bCs/>
          <w:color w:val="2E75B6"/>
          <w:sz w:val="24"/>
          <w:szCs w:val="24"/>
        </w:rPr>
        <w:t xml:space="preserve">C.4 Referencias bibliográficas de la semana</w:t>
      </w:r>
    </w:p>
    <w:p>
      <w:pPr>
        <w:spacing w:after="40" w:before="40"/>
        <w:ind w:left="720"/>
      </w:pPr>
      <w:r>
        <w:rPr>
          <w:rFonts w:ascii="Arial" w:cs="Arial" w:eastAsia="Arial" w:hAnsi="Arial"/>
          <w:i/>
          <w:iCs/>
          <w:color w:val="595959"/>
          <w:sz w:val="16"/>
          <w:szCs w:val="16"/>
        </w:rPr>
        <w:t xml:space="preserve">AGN Colombia (2001). Acuerdo 060 – Art. 3° "Registro de comunicaciones oficiales". https://normativa.archivogeneral.gov.co/acuerdo-060-de-2001/</w:t>
      </w:r>
    </w:p>
    <w:p>
      <w:pPr>
        <w:spacing w:after="40" w:before="40"/>
        <w:ind w:left="720"/>
      </w:pPr>
      <w:r>
        <w:rPr>
          <w:rFonts w:ascii="Arial" w:cs="Arial" w:eastAsia="Arial" w:hAnsi="Arial"/>
          <w:i/>
          <w:iCs/>
          <w:color w:val="595959"/>
          <w:sz w:val="16"/>
          <w:szCs w:val="16"/>
        </w:rPr>
        <w:t xml:space="preserve">FIATA (2022). FIATA Model Rules for Freight Forwarding Services. FIATA, Ginebra. https://fiata.org/resources/</w:t>
      </w:r>
    </w:p>
    <w:p>
      <w:pPr>
        <w:spacing w:after="40" w:before="40"/>
        <w:ind w:left="720"/>
      </w:pPr>
      <w:r>
        <w:rPr>
          <w:rFonts w:ascii="Arial" w:cs="Arial" w:eastAsia="Arial" w:hAnsi="Arial"/>
          <w:i/>
          <w:iCs/>
          <w:color w:val="595959"/>
          <w:sz w:val="16"/>
          <w:szCs w:val="16"/>
        </w:rPr>
        <w:t xml:space="preserve">ICONTEC (2009). GTC 185:2009 – Documentación Organizacional. §4 "Aspectos generales para las comunicaciones". ICONTEC, Bogotá.</w:t>
      </w:r>
    </w:p>
    <w:p>
      <w:pPr>
        <w:spacing w:after="40" w:before="40"/>
        <w:ind w:left="720"/>
      </w:pPr>
      <w:r>
        <w:rPr>
          <w:rFonts w:ascii="Arial" w:cs="Arial" w:eastAsia="Arial" w:hAnsi="Arial"/>
          <w:i/>
          <w:iCs/>
          <w:color w:val="595959"/>
          <w:sz w:val="16"/>
          <w:szCs w:val="16"/>
        </w:rPr>
        <w:t xml:space="preserve">ISO (2016). ISO 15489-1:2016 – Records management. §5.2 "Characteristics of records". ISO, Ginebra.</w:t>
      </w:r>
    </w:p>
    <w:p>
      <w:pPr>
        <w:spacing w:after="40" w:before="40"/>
        <w:ind w:left="720"/>
      </w:pPr>
      <w:r>
        <w:rPr>
          <w:rFonts w:ascii="Arial" w:cs="Arial" w:eastAsia="Arial" w:hAnsi="Arial"/>
          <w:i/>
          <w:iCs/>
          <w:color w:val="595959"/>
          <w:sz w:val="16"/>
          <w:szCs w:val="16"/>
        </w:rPr>
        <w:t xml:space="preserve">WCO/UPU (2024). Postal Customs Guide – Final Edition 2024. §IV.j.2 "CN 23 Customs declaration". WCO/UPU, Bruselas/Berna.</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95959"/>
        <w:sz w:val="16"/>
        <w:szCs w:val="16"/>
      </w:rPr>
      <w:t xml:space="preserve">ADM18 – BoxLatam S.A.S. | IUB 2026-1 | Página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de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0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6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2026-05-21T17:14:48.021Z</dcterms:created>
  <dcterms:modified xsi:type="dcterms:W3CDTF">2026-05-21T17:14:48.021Z</dcterms:modified>
</cp:coreProperties>
</file>

<file path=docProps/custom.xml><?xml version="1.0" encoding="utf-8"?>
<Properties xmlns="http://schemas.openxmlformats.org/officeDocument/2006/custom-properties" xmlns:vt="http://schemas.openxmlformats.org/officeDocument/2006/docPropsVTypes"/>
</file>