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2010 Question 2: AP Line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Intent: Design complete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APLine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class including constructor,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getSlope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isOnLine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methods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+1 Complete, correct header 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APLine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 APLine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Note: Accept any visibility except private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State maintenance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+1/2 Declares at least one instance variable capable of maintaining numeric value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+1/2 Declares at least three instance variables capable of maintaining numeric values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+1/2 All state variables have private visibility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Note: Accept any numeric type (primitive or object)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Note: Accept any distinct Java-valid variable names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APLine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Constructor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 header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+1/2 Correctly formed header (visibility not private; name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APLine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+1/2 Specifies exactly three numeric parameters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Method body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+1/2 Sets appropriate state variables based on parameters (no shadowing errors)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Note: Interpret instance fields by usage not by name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getSlope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Method header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+1/2 Correct method header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(visibility not private; type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 name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getSlope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 parameterless)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Method body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+1/2 Computation uses correct formula for slope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+1 Computation uses double precision (no integer division)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+1/2 Returns computed value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isOnLine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Method header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Correct formed header (visibility not private; type boolean or Boolean, name isOnLine)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Specifies exactly two numeric parameters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Method body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Computation uses correct formula involving state and parameters (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a*x + b*y + 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Computation uses correct comparison test (equal to zero)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is on this APLine; false otherwise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