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2015 Question 1: Diverse Array (9 points)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arraySum (2 points)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Compute and return sum of elements in 1D array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passed as parameter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(no bounds errors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Initializes, computes, and returns sum of elements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rowSums (4 points)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Compute and return 1D array containing sums of each row in the 2D array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passed as parameter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Constructs correctly-sized 1D array of ints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Accesses all words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Computes sum of row of arr2D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assigns to element in 1D array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Returns 1D array where kth element is computed sum of corresponding row in 2D array for all rows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C: isDiverse (3 points)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Determine whether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passed as parameter, is diverse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Computes and uses array of row sums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rowSums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Compare all and only pairs of row sums for equality (No bounds errors on row sums array;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not awarded if no adjustment when compares any row sum with itself)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all compared row sums are different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otherwise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(point not awarded for immediate return)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(g)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getLength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array size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(y) Destruction of persistent data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