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3: Crossword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toBeLabeled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Return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indicating whether a crossword grid square should be labeled with a positive number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Checks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blackSquares[r][c]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Checks for black square/border above and black square/border to the left (no bounds errors)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square should be labeled with positive number;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Crossword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constructor 6 points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Initialize each square in a crossword puzzle grid to have a color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(boolean)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an integer label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 = new Square[blackSquares.length][blackSquares[0].length];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(or equivalent)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all locations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bounds errors)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toBeLabeled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appropriate parameters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Creates and assigns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location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Numbers identified squares consecutively, in row-major order, starting at 1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On exit: All squares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correct color and number (minor errors covered in previous points ok)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Question-Specific Penalties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-2(p) Consistently uses incorrect name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-1(q) Uses 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[].length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 of 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].length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