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4: Successor Array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findPosition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Find the position of a given integer in a 2D integer array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necessary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errors)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 context of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Constructs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with same row and column as identified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Selects constructed object when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 identified;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not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selected value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getSuccessorArray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points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Create a successor array based on a 2D integer array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Creates 2D array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 with same dimensions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Assigns a value to a location in 2D successor array using a valid call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findPosition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Determines the successor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 accessed by row and column (in context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Assigns all necessary locations in successor array with corresponding position object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 bounds errors)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-1(s) Uses confused identifier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-1(t)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intArr[].length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number of columns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-1(u) Uses non-existent accessor methods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