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then a challenge carried through a week. Twenty-two steps in all, starting with a two-minute look at the story so far. Each mission also has an optional conversation with someone in the student's life.</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optional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at the start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If a school needs oversight, sell completion counts, never content.</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twenty-two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and Year 12s and school leavers get next-year planning — Your Next Chapter, pathways and goals — first.</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has an optional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five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twenty-two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at the start and ten weeks later that a pilot could use once it has ethics approval and consent, alongside validated measures. Schools respond well to being invited into the evidence rather than sold a claim, and it converts the weakest part of the pitch into a reason to sign.</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I'm happy to send the mapping.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16–24 are the empirical results quoted in this guide. Verified September 2026; item 24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and the Character Code's story sentence.</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optional conversation.</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2026-10-04T06:31:24.475Z</dcterms:created>
  <dcterms:modified xsi:type="dcterms:W3CDTF">2026-10-04T06:31:24.476Z</dcterms:modified>
</cp:coreProperties>
</file>

<file path=docProps/custom.xml><?xml version="1.0" encoding="utf-8"?>
<Properties xmlns="http://schemas.openxmlformats.org/officeDocument/2006/custom-properties" xmlns:vt="http://schemas.openxmlformats.org/officeDocument/2006/docPropsVTypes"/>
</file>