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A2540" w:val="clear"/>
        <w:spacing w:after="0" w:before="0"/>
        <w:ind w:left="288"/>
      </w:pPr>
      <w:r>
        <w:rPr>
          <w:rFonts w:ascii="Calibri Light" w:cs="Calibri Light" w:eastAsia="Calibri Light" w:hAnsi="Calibri Light"/>
          <w:b/>
          <w:bCs/>
          <w:color w:val="FFFFFF"/>
          <w:sz w:val="52"/>
          <w:szCs w:val="52"/>
        </w:rPr>
        <w:t xml:space="preserve">SMARTPR</w:t>
      </w:r>
    </w:p>
    <w:p>
      <w:pPr>
        <w:shd w:fill="0A2540" w:val="clear"/>
        <w:spacing w:after="80" w:before="0"/>
        <w:ind w:left="288"/>
      </w:pPr>
      <w:r>
        <w:rPr>
          <w:rFonts w:ascii="Calibri" w:cs="Calibri" w:eastAsia="Calibri" w:hAnsi="Calibri"/>
          <w:color w:val="B3D6FF"/>
          <w:sz w:val="20"/>
          <w:szCs w:val="20"/>
        </w:rPr>
        <w:t xml:space="preserve">Puerto Rico Business Licensing Intelligence</w:t>
      </w:r>
    </w:p>
    <w:p>
      <w:pPr>
        <w:spacing w:after="80" w:before="320"/>
      </w:pPr>
      <w:r>
        <w:rPr>
          <w:rFonts w:ascii="Calibri Light" w:cs="Calibri Light" w:eastAsia="Calibri Light" w:hAnsi="Calibri Light"/>
          <w:b/>
          <w:bCs/>
          <w:color w:val="0A2540"/>
          <w:sz w:val="48"/>
          <w:szCs w:val="48"/>
        </w:rPr>
        <w:t xml:space="preserve">Investor Briefing</w:t>
      </w:r>
    </w:p>
    <w:p>
      <w:pPr>
        <w:spacing w:after="200" w:before="0"/>
      </w:pPr>
      <w:r>
        <w:rPr>
          <w:rFonts w:ascii="Calibri" w:cs="Calibri" w:eastAsia="Calibri" w:hAnsi="Calibri"/>
          <w:color w:val="0D9488"/>
          <w:sz w:val="24"/>
          <w:szCs w:val="24"/>
        </w:rPr>
        <w:t xml:space="preserve">Municipality Coverage &amp; the Regulatory Knowledge Graph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0A2540"/>
          <w:sz w:val="20"/>
          <w:szCs w:val="20"/>
        </w:rPr>
        <w:t xml:space="preserve">Audience: 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Investors · Advisors · Partners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0A2540"/>
          <w:sz w:val="20"/>
          <w:szCs w:val="20"/>
        </w:rPr>
        <w:t xml:space="preserve">Coverage: 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Phases 1 – 7  ·  June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8"/>
        <w:gridCol w:w="2304"/>
        <w:gridCol w:w="2304"/>
      </w:tblGrid>
      <w:tr>
        <w:trPr>
          <w:tblHeader/>
        </w:trPr>
        <w:tc>
          <w:tcPr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Before (Phase 0)</w:t>
            </w:r>
          </w:p>
        </w:tc>
        <w:tc>
          <w:tcPr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After (Phase 7)</w:t>
            </w:r>
          </w:p>
        </w:tc>
      </w:tr>
      <w:tr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8"/>
                <w:szCs w:val="18"/>
              </w:rPr>
              <w:t xml:space="preserve">Authored rules</w:t>
            </w:r>
          </w:p>
        </w:tc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268</w:t>
            </w:r>
          </w:p>
        </w:tc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596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8"/>
                <w:szCs w:val="18"/>
              </w:rPr>
              <w:t xml:space="preserve">Documents modeled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40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58</w:t>
            </w:r>
          </w:p>
        </w:tc>
      </w:tr>
      <w:tr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8"/>
                <w:szCs w:val="18"/>
              </w:rPr>
              <w:t xml:space="preserve">Geographic flags</w:t>
            </w:r>
          </w:p>
        </w:tc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2 sparse</w:t>
            </w:r>
          </w:p>
        </w:tc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8 first-class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8"/>
                <w:szCs w:val="18"/>
              </w:rPr>
              <w:t xml:space="preserve">Industries with metro coverage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0 / 20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18 / 20</w:t>
            </w:r>
          </w:p>
        </w:tc>
      </w:tr>
      <w:tr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8"/>
                <w:szCs w:val="18"/>
              </w:rPr>
              <w:t xml:space="preserve">Engine tests</w:t>
            </w:r>
          </w:p>
        </w:tc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17</w:t>
            </w:r>
          </w:p>
        </w:tc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44 — all passing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8"/>
                <w:szCs w:val="18"/>
              </w:rPr>
              <w:t xml:space="preserve">Avg flag-driven docs (metro restaurant)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0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11</w:t>
            </w:r>
          </w:p>
        </w:tc>
      </w:tr>
    </w:tbl>
    <w:p>
      <w:r>
        <w:br w:type="pag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A2540"/>
          <w:sz w:val="32"/>
          <w:szCs w:val="32"/>
        </w:rPr>
        <w:t xml:space="preserve">Executive Summary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0A2540"/>
          <w:sz w:val="10"/>
          <w:szCs w:val="10"/>
        </w:rPr>
        <w:t xml:space="preserve">SmartPR is a regulatory-knowledge platform for Puerto Rico business licensing. The differentiator is not the form-filling — it is the knowledge graph behind it: a typed model of jurisdictions, flags, agencies, business types, questions, documents, and the rules that connect them.</w:t>
      </w:r>
    </w:p>
    <w:p>
      <w:pPr>
        <w:spacing w:after="0" w:before="80"/>
      </w:pPr>
    </w:p>
    <w:p>
      <w:pPr>
        <w:spacing w:after="60" w:before="60"/>
        <w:jc w:val="both"/>
      </w:pPr>
      <w:r>
        <w:rPr>
          <w:rFonts w:ascii="Calibri" w:cs="Calibri" w:eastAsia="Calibri" w:hAnsi="Calibri"/>
          <w:color w:val="64748B"/>
          <w:sz w:val="10"/>
          <w:szCs w:val="10"/>
        </w:rPr>
        <w:t xml:space="preserve">Over seven authoring phases, SmartPR evolved from a generic checklist that treated every Puerto Rico municipality identically into a graph that routes each business through the exact set of permits, inspections, and federal/PR/municipal documents that apply to their specific town and operation.</w:t>
      </w:r>
    </w:p>
    <w:p>
      <w:pPr>
        <w:pBdr>
          <w:bottom w:val="single" w:color="0D9488" w:sz="6" w:space="1"/>
        </w:pBdr>
        <w:spacing w:after="1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Why Municipality Matters in Puerto Rico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64748B"/>
          <w:sz w:val="10"/>
          <w:szCs w:val="10"/>
        </w:rPr>
        <w:t xml:space="preserve">Puerto Rico has 78 autonomous municipios, each with overlapping federal (CBP, EPA, TSA, IRS), commonwealth (Hacienda, OGPe, Departamento de Salud, DRNA, JCA), and municipal (patente, zoning, signage, noise, traffic) regulators.</w:t>
      </w:r>
    </w:p>
    <w:p>
      <w:pPr>
        <w:spacing w:after="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A2540"/>
          <w:sz w:val="20"/>
          <w:szCs w:val="20"/>
        </w:rPr>
        <w:t xml:space="preserve">A restaurant in San Juan 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is not regulated like a restaurant in Aguadilla. </w:t>
      </w:r>
      <w:r>
        <w:rPr>
          <w:rFonts w:ascii="Calibri" w:cs="Calibri" w:eastAsia="Calibri" w:hAnsi="Calibri"/>
          <w:b/>
          <w:bCs/>
          <w:color w:val="0A2540"/>
          <w:sz w:val="20"/>
          <w:szCs w:val="20"/>
        </w:rPr>
        <w:t xml:space="preserve">A pharmaceutical plant in Ponce 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is not regulated like one in Salinas. </w:t>
      </w:r>
      <w:r>
        <w:rPr>
          <w:rFonts w:ascii="Calibri" w:cs="Calibri" w:eastAsia="Calibri" w:hAnsi="Calibri"/>
          <w:b/>
          <w:bCs/>
          <w:color w:val="0A2540"/>
          <w:sz w:val="20"/>
          <w:szCs w:val="20"/>
        </w:rPr>
        <w:t xml:space="preserve">An Airbnb in Vieques 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is not regulated like one in Dorado.</w:t>
      </w:r>
    </w:p>
    <w:p>
      <w:pPr>
        <w:spacing w:after="0" w:before="40"/>
      </w:pPr>
    </w:p>
    <w:p>
      <w:pPr>
        <w:spacing w:after="60" w:before="60"/>
        <w:jc w:val="both"/>
      </w:pPr>
      <w:r>
        <w:rPr>
          <w:rFonts w:ascii="Calibri" w:cs="Calibri" w:eastAsia="Calibri" w:hAnsi="Calibri"/>
          <w:color w:val="64748B"/>
          <w:sz w:val="10"/>
          <w:szCs w:val="10"/>
        </w:rPr>
        <w:t xml:space="preserve">These distinctions show up as real, specific documents — facade-preservation plans for historic districts, ferry-logistics manifests for islands, NPDES industrial discharge permits in industrial corridors. Existing tools either flatten everything into a generic checklist or ask the user to know which special obligations apply to their town. SmartPR knows.</w:t>
      </w:r>
    </w:p>
    <w:p>
      <w:r>
        <w:br w:type="pag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A2540"/>
          <w:sz w:val="32"/>
          <w:szCs w:val="32"/>
        </w:rPr>
        <w:t xml:space="preserve">How the Engine Works</w:t>
      </w:r>
    </w:p>
    <w:p>
      <w:pPr>
        <w:spacing w:after="160" w:before="80"/>
        <w:jc w:val="both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Each business is the intersection of </w:t>
      </w: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a municipality</w:t>
      </w:r>
      <w:r>
        <w:rPr>
          <w:rFonts w:ascii="Calibri" w:cs="Calibri" w:eastAsia="Calibri" w:hAnsi="Calibri"/>
          <w:color w:val="0A2540"/>
          <w:sz w:val="22"/>
          <w:szCs w:val="22"/>
        </w:rPr>
        <w:t xml:space="preserve"> (which carries one or more </w:t>
      </w: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flags</w:t>
      </w:r>
      <w:r>
        <w:rPr>
          <w:rFonts w:ascii="Calibri" w:cs="Calibri" w:eastAsia="Calibri" w:hAnsi="Calibri"/>
          <w:color w:val="0A2540"/>
          <w:sz w:val="22"/>
          <w:szCs w:val="22"/>
        </w:rPr>
        <w:t xml:space="preserve">), an </w:t>
      </w: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industry → business type</w:t>
      </w:r>
      <w:r>
        <w:rPr>
          <w:rFonts w:ascii="Calibri" w:cs="Calibri" w:eastAsia="Calibri" w:hAnsi="Calibri"/>
          <w:color w:val="0A2540"/>
          <w:sz w:val="22"/>
          <w:szCs w:val="22"/>
        </w:rPr>
        <w:t xml:space="preserve">, and a small set of </w:t>
      </w: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yes/no operational questions</w:t>
      </w:r>
      <w:r>
        <w:rPr>
          <w:rFonts w:ascii="Calibri" w:cs="Calibri" w:eastAsia="Calibri" w:hAnsi="Calibri"/>
          <w:color w:val="0A2540"/>
          <w:sz w:val="22"/>
          <w:szCs w:val="22"/>
        </w:rPr>
        <w:t xml:space="preserve">. The knowledge graph deterministically resolves those inputs into the exact documents required.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A2540"/>
          <w:sz w:val="20"/>
          <w:szCs w:val="20"/>
        </w:rPr>
        <w:t xml:space="preserve">The 8 Municipality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0"/>
        <w:gridCol w:w="4608"/>
        <w:gridCol w:w="1008"/>
        <w:gridCol w:w="1152"/>
      </w:tblGrid>
      <w:tr>
        <w:trPr>
          <w:tblHeader/>
        </w:trPr>
        <w:tc>
          <w:tcPr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Signals</w:t>
            </w:r>
          </w:p>
        </w:tc>
        <w:tc>
          <w:tcPr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Towns</w:t>
            </w:r>
          </w:p>
        </w:tc>
        <w:tc>
          <w:tcPr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</w:tr>
      <w:tr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8"/>
                <w:szCs w:val="18"/>
              </w:rPr>
              <w:t xml:space="preserve">metro</w:t>
            </w:r>
          </w:p>
        </w:tc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Urban corridor — traffic, loading, noise, stormwater</w:t>
            </w:r>
          </w:p>
        </w:tc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9</w:t>
            </w:r>
          </w:p>
        </w:tc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200+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8"/>
                <w:szCs w:val="18"/>
              </w:rPr>
              <w:t xml:space="preserve">capital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San Juan-specific obligations (use permit, reporting)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10</w:t>
            </w:r>
          </w:p>
        </w:tc>
      </w:tr>
      <w:tr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8"/>
                <w:szCs w:val="18"/>
              </w:rPr>
              <w:t xml:space="preserve">historic</w:t>
            </w:r>
          </w:p>
        </w:tc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ICP/OECH facade + structural + signage preservation</w:t>
            </w:r>
          </w:p>
        </w:tc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4</w:t>
            </w:r>
          </w:p>
        </w:tc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28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8"/>
                <w:szCs w:val="18"/>
              </w:rPr>
              <w:t xml:space="preserve">island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ATM ferry logistics, limited-landfill waste constraints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2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12</w:t>
            </w:r>
          </w:p>
        </w:tc>
      </w:tr>
      <w:tr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8"/>
                <w:szCs w:val="18"/>
              </w:rPr>
              <w:t xml:space="preserve">tourism</w:t>
            </w:r>
          </w:p>
        </w:tc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PRTC licensing, eco-tourism, beach/water permits</w:t>
            </w:r>
          </w:p>
        </w:tc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16</w:t>
            </w:r>
          </w:p>
        </w:tc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29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8"/>
                <w:szCs w:val="18"/>
              </w:rPr>
              <w:t xml:space="preserve">coastal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DRNA environmental + shoreline permits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43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11</w:t>
            </w:r>
          </w:p>
        </w:tc>
      </w:tr>
      <w:tr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8"/>
                <w:szCs w:val="18"/>
              </w:rPr>
              <w:t xml:space="preserve">industrial_port</w:t>
            </w:r>
          </w:p>
        </w:tc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NPDES, RCRA, Title V, Port Authority docking</w:t>
            </w:r>
          </w:p>
        </w:tc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5</w:t>
            </w:r>
          </w:p>
        </w:tc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28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8"/>
                <w:szCs w:val="18"/>
              </w:rPr>
              <w:t xml:space="preserve">airport_host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CBP Customs Bond, TSA Known Shipper, concession permit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11</w:t>
            </w:r>
          </w:p>
        </w:tc>
      </w:tr>
    </w:tbl>
    <w:p>
      <w:pPr>
        <w:spacing w:after="0" w:before="80"/>
      </w:pPr>
    </w:p>
    <w:p>
      <w:pPr>
        <w:shd w:fill="FFF3CD" w:val="clear"/>
        <w:spacing w:after="80" w:before="80"/>
        <w:ind w:left="215"/>
      </w:pPr>
      <w:r>
        <w:rPr>
          <w:rFonts w:ascii="Calibri" w:cs="Calibri" w:eastAsia="Calibri" w:hAnsi="Calibri"/>
          <w:b/>
          <w:bCs/>
          <w:color w:val="0A2540"/>
          <w:sz w:val="18"/>
          <w:szCs w:val="18"/>
        </w:rPr>
        <w:t xml:space="preserve">Note: 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Office-only industries (Finance, IT, Professional Services) correctly yield zero flag-driven documents — the engine does not over-fire.</w:t>
      </w:r>
    </w:p>
    <w:p>
      <w:r>
        <w:br w:type="pag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A2540"/>
          <w:sz w:val="32"/>
          <w:szCs w:val="32"/>
        </w:rPr>
        <w:t xml:space="preserve">The Seven Phases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64748B"/>
          <w:sz w:val="10"/>
          <w:szCs w:val="10"/>
        </w:rPr>
        <w:t xml:space="preserve">Each phase shipped as a single commit with passing tests — cumulative, additive precision. Every later phase adds specificity on top of the earlier ones without breaking what came before.</w:t>
      </w:r>
    </w:p>
    <w:p>
      <w:pPr>
        <w:spacing w:after="0" w:before="80"/>
      </w:pPr>
    </w:p>
    <w:p>
      <w:pPr>
        <w:shd w:fill="0D9488" w:val="clear"/>
        <w:spacing w:after="0" w:before="80"/>
        <w:ind w:left="215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Phase 1  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San Juan + Metro Foundation</w:t>
      </w:r>
    </w:p>
    <w:p>
      <w:pPr>
        <w:shd w:fill="F1F5F9" w:val="clear"/>
        <w:spacing w:after="80" w:before="0"/>
        <w:ind w:left="215"/>
      </w:pPr>
      <w:r>
        <w:rPr>
          <w:rFonts w:ascii="Calibri" w:cs="Calibri" w:eastAsia="Calibri" w:hAnsi="Calibri"/>
          <w:color w:val="64748B"/>
          <w:sz w:val="9"/>
          <w:szCs w:val="9"/>
        </w:rPr>
        <w:t xml:space="preserve">Introduced the first per-business-type composites for San Juan and six original metro municipalities. Established four drivers: Traffic, Loading, Noise, Environmental, and the capital flag for San Juan-specific obligations.  Effect: A restaurant in San Juan went from 0 municipality-driven documents to 10.</w:t>
      </w:r>
    </w:p>
    <w:p>
      <w:pPr>
        <w:shd w:fill="0D9488" w:val="clear"/>
        <w:spacing w:after="0" w:before="80"/>
        <w:ind w:left="215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Phase 2  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All Industries × Metro</w:t>
      </w:r>
    </w:p>
    <w:p>
      <w:pPr>
        <w:shd w:fill="F1F5F9" w:val="clear"/>
        <w:spacing w:after="80" w:before="0"/>
        <w:ind w:left="215"/>
      </w:pPr>
      <w:r>
        <w:rPr>
          <w:rFonts w:ascii="Calibri" w:cs="Calibri" w:eastAsia="Calibri" w:hAnsi="Calibri"/>
          <w:color w:val="64748B"/>
          <w:sz w:val="9"/>
          <w:szCs w:val="9"/>
        </w:rPr>
        <w:t xml:space="preserve">Extended metro composites to every applicable business type across all 20 industries. Office-only industries (Finance, IT, Professional Services) intentionally left at the universal baseline.  Effect: 18 of 20 industries now have meaningful metro-specific coverage.</w:t>
      </w:r>
    </w:p>
    <w:p>
      <w:pPr>
        <w:shd w:fill="0D9488" w:val="clear"/>
        <w:spacing w:after="0" w:before="80"/>
        <w:ind w:left="215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Phase 3  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Historic + Island + Metro Fill-ins</w:t>
      </w:r>
    </w:p>
    <w:p>
      <w:pPr>
        <w:shd w:fill="F1F5F9" w:val="clear"/>
        <w:spacing w:after="80" w:before="0"/>
        <w:ind w:left="215"/>
      </w:pPr>
      <w:r>
        <w:rPr>
          <w:rFonts w:ascii="Calibri" w:cs="Calibri" w:eastAsia="Calibri" w:hAnsi="Calibri"/>
          <w:color w:val="64748B"/>
          <w:sz w:val="9"/>
          <w:szCs w:val="9"/>
        </w:rPr>
        <w:t xml:space="preserve">Added composites for the four historic-district municipalities (San Juan, Ponce, San Germán, Mayagüez) and two island municipalities (Vieques, Culebra). Three new documents — historic structural review, historic sign variance, ATM ferry manifest.  Effect: A hotel in Old San Juan now sees facade preservation + structural review + sign variance + use permit.</w:t>
      </w:r>
    </w:p>
    <w:p>
      <w:pPr>
        <w:shd w:fill="0D9488" w:val="clear"/>
        <w:spacing w:after="0" w:before="80"/>
        <w:ind w:left="215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Phase 4  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Popular Non-Metro Municipalities</w:t>
      </w:r>
    </w:p>
    <w:p>
      <w:pPr>
        <w:shd w:fill="F1F5F9" w:val="clear"/>
        <w:spacing w:after="80" w:before="0"/>
        <w:ind w:left="215"/>
      </w:pPr>
      <w:r>
        <w:rPr>
          <w:rFonts w:ascii="Calibri" w:cs="Calibri" w:eastAsia="Calibri" w:hAnsi="Calibri"/>
          <w:color w:val="64748B"/>
          <w:sz w:val="9"/>
          <w:szCs w:val="9"/>
        </w:rPr>
        <w:t xml:space="preserve">Broadened tourism and coastal flags to F&amp;B, beauty, retail, and tour-services business types for seven popular beach towns (Aguadilla, Cabo Rojo, Dorado, Fajardo, Humacao, Isabela, Río Grande). Added Arecibo to tourism; Toa Alta and Trujillo Alto to metro.  Effect: A gift shop in Fajardo went from 0 municipality-driven docs to 3.</w:t>
      </w:r>
    </w:p>
    <w:p>
      <w:pPr>
        <w:shd w:fill="0D9488" w:val="clear"/>
        <w:spacing w:after="0" w:before="80"/>
        <w:ind w:left="215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Phase 5  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Industrial-Port Corridor</w:t>
      </w:r>
    </w:p>
    <w:p>
      <w:pPr>
        <w:shd w:fill="F1F5F9" w:val="clear"/>
        <w:spacing w:after="80" w:before="0"/>
        <w:ind w:left="215"/>
      </w:pPr>
      <w:r>
        <w:rPr>
          <w:rFonts w:ascii="Calibri" w:cs="Calibri" w:eastAsia="Calibri" w:hAnsi="Calibri"/>
          <w:color w:val="64748B"/>
          <w:sz w:val="9"/>
          <w:szCs w:val="9"/>
        </w:rPr>
        <w:t xml:space="preserve">Introduced the industrial_port flag for Ponce, Cataño, Guayanilla, Salinas, and Yabucoa. Four new federally-anchored documents: NPDES industrial discharge, RCRA hazardous-waste handler ID, Title V air emission permit, Port Authority docking authorization.  Effect: A chemical manufacturer in Ponce now sees all three heavy-industry federal docs.</w:t>
      </w:r>
    </w:p>
    <w:p>
      <w:pPr>
        <w:shd w:fill="0D9488" w:val="clear"/>
        <w:spacing w:after="0" w:before="80"/>
        <w:ind w:left="215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Phase 6  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Airport-Host Municipalities</w:t>
      </w:r>
    </w:p>
    <w:p>
      <w:pPr>
        <w:shd w:fill="F1F5F9" w:val="clear"/>
        <w:spacing w:after="80" w:before="0"/>
        <w:ind w:left="215"/>
      </w:pPr>
      <w:r>
        <w:rPr>
          <w:rFonts w:ascii="Calibri" w:cs="Calibri" w:eastAsia="Calibri" w:hAnsi="Calibri"/>
          <w:color w:val="64748B"/>
          <w:sz w:val="9"/>
          <w:szCs w:val="9"/>
        </w:rPr>
        <w:t xml:space="preserve">Introduced the airport_host flag for Carolina (SJU), Aguadilla (BQN), and Ponce (Mercedita). Three new documents — CBP Customs Broker Bond, TSA Known Shipper, airport-area concession — wired exclusively to air-cargo and customs-active business types.  Effect: A freight forwarder in Carolina now sees CBP bond + TSA known shipper.</w:t>
      </w:r>
    </w:p>
    <w:p>
      <w:pPr>
        <w:shd w:fill="0D9488" w:val="clear"/>
        <w:spacing w:after="0" w:before="80"/>
        <w:ind w:left="215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Phase 7  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Patente-Rate Metadata</w:t>
      </w:r>
    </w:p>
    <w:p>
      <w:pPr>
        <w:shd w:fill="F1F5F9" w:val="clear"/>
        <w:spacing w:after="80" w:before="0"/>
        <w:ind w:left="215"/>
      </w:pPr>
      <w:r>
        <w:rPr>
          <w:rFonts w:ascii="Calibri" w:cs="Calibri" w:eastAsia="Calibri" w:hAnsi="Calibri"/>
          <w:color w:val="64748B"/>
          <w:sz w:val="9"/>
          <w:szCs w:val="9"/>
        </w:rPr>
        <w:t xml:space="preserve">Extended the municipality schema with an optional patente_rate field — the gross-receipts tax rate that varies by municipio. Populated the seven main metro municipalities at the legal-maximum general rate (0.5% per Ley 113-1995).  Effect: First structural metadata about per-municipality fiscal obligations; opens a path to per-town fee and tax estimates.</w:t>
      </w:r>
    </w:p>
    <w:p>
      <w:r>
        <w:br w:type="pag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A2540"/>
          <w:sz w:val="32"/>
          <w:szCs w:val="32"/>
        </w:rPr>
        <w:t xml:space="preserve">Platform in Action — Worked Example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A2540"/>
          <w:sz w:val="20"/>
          <w:szCs w:val="20"/>
        </w:rPr>
        <w:t xml:space="preserve">Hotel in Old San Juan  →  21 Personalized Documents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64748B"/>
          <w:sz w:val="10"/>
          <w:szCs w:val="10"/>
        </w:rPr>
        <w:t xml:space="preserve">The user picks Tourism &amp; Hospitality → Hotel and San Juan as the municipality. The same engine that powers our 44 tests runs instantly in the browser and produces: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80"/>
        <w:gridCol w:w="6048"/>
      </w:tblGrid>
      <w:tr>
        <w:trPr>
          <w:tblHeader/>
        </w:trPr>
        <w:tc>
          <w:tcPr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 Group</w:t>
            </w:r>
          </w:p>
        </w:tc>
        <w:tc>
          <w:tcPr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Documents Included</w:t>
            </w:r>
          </w:p>
        </w:tc>
      </w:tr>
      <w:tr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8"/>
                <w:szCs w:val="18"/>
              </w:rPr>
              <w:t xml:space="preserve">6  Universal baseline</w:t>
            </w:r>
          </w:p>
        </w:tc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Certificate of Incorporation, EIN, Merchant Registration, Patente Municipal, Municipal Registration, Tax Compliance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8"/>
                <w:szCs w:val="18"/>
              </w:rPr>
              <w:t xml:space="preserve">5  Business-type specific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Permiso Único, Zoning Certificate, Health Permit, Fire Safety Certificate, Tourism Registration</w:t>
            </w:r>
          </w:p>
        </w:tc>
      </w:tr>
      <w:tr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8"/>
                <w:szCs w:val="18"/>
              </w:rPr>
              <w:t xml:space="preserve">4  Metro composites</w:t>
            </w:r>
          </w:p>
        </w:tc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Stormwater Management Plan, Waste Collection Contract, Parking Compliance Certificate, Traffic Impact Study, Loading Zone Permit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8"/>
                <w:szCs w:val="18"/>
              </w:rPr>
              <w:t xml:space="preserve">1  Capital flag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San Juan Municipal Use Permit</w:t>
            </w:r>
          </w:p>
        </w:tc>
      </w:tr>
      <w:tr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8"/>
                <w:szCs w:val="18"/>
              </w:rPr>
              <w:t xml:space="preserve">3  Historic-district</w:t>
            </w:r>
          </w:p>
        </w:tc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Facade Preservation Plan (ICP), Historic Structural Review (OECH), Sign Variance — Historic Zone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8"/>
                <w:szCs w:val="18"/>
              </w:rPr>
              <w:t xml:space="preserve">1  Coastal flag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DRNA Shoreline Environmental Permit</w:t>
            </w:r>
          </w:p>
        </w:tc>
      </w:tr>
      <w:tr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8"/>
                <w:szCs w:val="18"/>
              </w:rPr>
              <w:t xml:space="preserve">1  Tourism crossover</w:t>
            </w:r>
          </w:p>
        </w:tc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Additional PRTC Registration (capital + tourism combination)</w:t>
            </w:r>
          </w:p>
        </w:tc>
      </w:tr>
    </w:tbl>
    <w:p>
      <w:pPr>
        <w:spacing w:after="0" w:before="1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A2540"/>
          <w:sz w:val="20"/>
          <w:szCs w:val="20"/>
        </w:rPr>
        <w:t xml:space="preserve">Switch the Inputs — the Checklist Changes Instantly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64748B"/>
          <w:sz w:val="9"/>
          <w:szCs w:val="9"/>
        </w:rPr>
        <w:t xml:space="preserve">Change municipality to Vieques → lose San Juan + historic docs, gain ATM Ferry Manifest + island waste contract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64748B"/>
          <w:sz w:val="9"/>
          <w:szCs w:val="9"/>
        </w:rPr>
        <w:t xml:space="preserve">Change business type to Software Company → checklist collapses to 6 universal docs + metro infrastructure trio only — no traffic study, no facade review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64748B"/>
          <w:sz w:val="9"/>
          <w:szCs w:val="9"/>
        </w:rPr>
        <w:t xml:space="preserve">Change municipality to Carolina + Freight Forwarder → gain CBP Customs Broker Bond + TSA Known Shipper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64748B"/>
          <w:sz w:val="9"/>
          <w:szCs w:val="9"/>
        </w:rPr>
        <w:t xml:space="preserve">Change municipality to Ponce + Chemical Manufacturer → gain NPDES industrial discharge + RCRA hazardous-waste ID + Title V air permit</w:t>
      </w:r>
    </w:p>
    <w:p>
      <w:pPr>
        <w:spacing w:after="0" w:before="80"/>
      </w:pPr>
    </w:p>
    <w:p>
      <w:pPr>
        <w:spacing w:after="60" w:before="60"/>
        <w:jc w:val="both"/>
      </w:pPr>
      <w:r>
        <w:rPr>
          <w:rFonts w:ascii="Calibri" w:cs="Calibri" w:eastAsia="Calibri" w:hAnsi="Calibri"/>
          <w:color w:val="64748B"/>
          <w:sz w:val="10"/>
          <w:szCs w:val="10"/>
        </w:rPr>
        <w:t xml:space="preserve">Same engine. Same rules. Same data model. The platform is correct by construction.</w:t>
      </w:r>
    </w:p>
    <w:p>
      <w:r>
        <w:br w:type="pag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A2540"/>
          <w:sz w:val="32"/>
          <w:szCs w:val="32"/>
        </w:rPr>
        <w:t xml:space="preserve">The Competitive Moat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A2540"/>
          <w:sz w:val="20"/>
          <w:szCs w:val="20"/>
        </w:rPr>
        <w:t xml:space="preserve">1. Regulatory Craft, Not Machine Learning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64748B"/>
          <w:sz w:val="10"/>
          <w:szCs w:val="10"/>
        </w:rPr>
        <w:t xml:space="preserve">Every rule is a hand-authored, sourced statement of an actual obligation under federal, commonwealth, or municipal code. There is no model to scrape — the moat is the correct set of rules, derived from regulation, tested against negative cases. Competitors cannot replicate this by scraping SmartPR's UI.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A2540"/>
          <w:sz w:val="20"/>
          <w:szCs w:val="20"/>
        </w:rPr>
        <w:t xml:space="preserve">2. Jurisdiction-Agnostic Architecture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64748B"/>
          <w:sz w:val="10"/>
          <w:szCs w:val="10"/>
        </w:rPr>
        <w:t xml:space="preserve">A JurisdictionPack abstraction makes all Puerto Rico-specific data swappable. Adding Florida, Texas, or any state becomes a content project, not an engineering project — the engine, UI, and admin visualization are unchanged. Each new jurisdiction is multiplicative value on the same platform.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A2540"/>
          <w:sz w:val="20"/>
          <w:szCs w:val="20"/>
        </w:rPr>
        <w:t xml:space="preserve">3. One Source of Truth, Two Surfaces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64748B"/>
          <w:sz w:val="10"/>
          <w:szCs w:val="10"/>
        </w:rPr>
        <w:t xml:space="preserve">The same engine powers the user checklist and the admin Knowledge Graph. Any rule added appears instantly in both. There is no drift — what the analyst sees is exactly what the customer receives.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A2540"/>
          <w:sz w:val="20"/>
          <w:szCs w:val="20"/>
        </w:rPr>
        <w:t xml:space="preserve">4. The Graph is Data, Not Code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64748B"/>
          <w:sz w:val="10"/>
          <w:szCs w:val="10"/>
        </w:rPr>
        <w:t xml:space="preserve">Adding a new flag, a new municipality, a new document, or a new composite rule is a JSON edit — no rebuild of the platform. SMEs and partners can author with us once the authoring UI is exposed, creating a scalable path for continuous regulatory coverage.</w:t>
      </w:r>
    </w:p>
    <w:p>
      <w:pPr>
        <w:pBdr>
          <w:bottom w:val="single" w:color="0D9488" w:sz="6" w:space="1"/>
        </w:pBdr>
        <w:spacing w:after="1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90-Day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92"/>
        <w:gridCol w:w="3455"/>
        <w:gridCol w:w="2880"/>
      </w:tblGrid>
      <w:tr>
        <w:trPr>
          <w:tblHeader/>
        </w:trPr>
        <w:tc>
          <w:tcPr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8"/>
                <w:szCs w:val="18"/>
              </w:rPr>
              <w:t xml:space="preserve">SME Audit Pass</w:t>
            </w:r>
          </w:p>
        </w:tc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Domain expert review of all 596 rules + flag tagging</w:t>
            </w:r>
          </w:p>
        </w:tc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Validates the substance behind the framework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8"/>
                <w:szCs w:val="18"/>
              </w:rPr>
              <w:t xml:space="preserve">Patente-Rate Enrichment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Populate remaining 71 municipios with researched rates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Closes per-municipality fiscal estimate gap</w:t>
            </w:r>
          </w:p>
        </w:tc>
      </w:tr>
      <w:tr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8"/>
                <w:szCs w:val="18"/>
              </w:rPr>
              <w:t xml:space="preserve">Florida Pack</w:t>
            </w:r>
          </w:p>
        </w:tc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Author the first non-PR JurisdictionPack</w:t>
            </w:r>
          </w:p>
        </w:tc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Proves the cross-jurisdiction architecture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8"/>
                <w:szCs w:val="18"/>
              </w:rPr>
              <w:t xml:space="preserve">Question-Trigger Refine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Tie composites to user answers, not just business type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More precise checklists (noise only if amplified sound)</w:t>
            </w:r>
          </w:p>
        </w:tc>
      </w:tr>
      <w:tr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8"/>
                <w:szCs w:val="18"/>
              </w:rPr>
              <w:t xml:space="preserve">Authoring UI</w:t>
            </w:r>
          </w:p>
        </w:tc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SME-facing surface to add/edit rules without JSON</w:t>
            </w:r>
          </w:p>
        </w:tc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Scales authoring beyond the engineering team</w:t>
            </w:r>
          </w:p>
        </w:tc>
      </w:tr>
    </w:tbl>
    <w:p>
      <w:r>
        <w:br w:type="pag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A2540"/>
          <w:sz w:val="32"/>
          <w:szCs w:val="32"/>
        </w:rPr>
        <w:t xml:space="preserve">Investor Takeaway</w:t>
      </w:r>
    </w:p>
    <w:p>
      <w:pPr>
        <w:pBdr>
          <w:left w:val="single" w:color="0D9488" w:sz="12" w:space="20"/>
        </w:pBdr>
        <w:shd w:fill="F0FDFA" w:val="clear"/>
        <w:spacing w:after="160" w:before="160"/>
        <w:ind w:left="576" w:right="576"/>
        <w:jc w:val="center"/>
      </w:pPr>
      <w:r>
        <w:rPr>
          <w:rFonts w:ascii="Calibri" w:cs="Calibri" w:eastAsia="Calibri" w:hAnsi="Calibri"/>
          <w:i/>
          <w:iCs/>
          <w:color w:val="0D9488"/>
          <w:sz w:val="24"/>
          <w:szCs w:val="24"/>
        </w:rPr>
        <w:t xml:space="preserve">"The graph today knows that a hotel in Old San Juan needs an ICP facade plan, a freight forwarder in Carolina needs a CBP bond, and a chemical plant in Ponce needs a Title V permit — and it produces those checklists in milliseconds, for free, with no human in the loop."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0A2540"/>
          <w:sz w:val="10"/>
          <w:szCs w:val="10"/>
        </w:rPr>
        <w:t xml:space="preserve">What you saw the team ship across seven phases is not feature work — it is the construction of a regulatory knowledge asset that grows on a defined cadence, with tests that lock in correctness, and an architecture that pays compounding dividends as SmartPR covers more flags, more business types, and eventually more jurisdictions.</w:t>
      </w:r>
    </w:p>
    <w:p>
      <w:pPr>
        <w:spacing w:after="0" w:before="80"/>
      </w:pPr>
    </w:p>
    <w:p>
      <w:pPr>
        <w:spacing w:after="60" w:before="60"/>
        <w:jc w:val="both"/>
      </w:pPr>
      <w:r>
        <w:rPr>
          <w:rFonts w:ascii="Calibri" w:cs="Calibri" w:eastAsia="Calibri" w:hAnsi="Calibri"/>
          <w:color w:val="64748B"/>
          <w:sz w:val="10"/>
          <w:szCs w:val="10"/>
        </w:rPr>
        <w:t xml:space="preserve">Every additional rule authored is a permanent asset that ships across every customer. This is the part that is hard to build, hard to copy, and the part that makes everything downstream — validation, document intelligence, deliverable generation — more valuable.</w:t>
      </w:r>
    </w:p>
    <w:p>
      <w:pPr>
        <w:spacing w:after="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24"/>
        <w:gridCol w:w="3024"/>
        <w:gridCol w:w="2880"/>
      </w:tblGrid>
      <w:tr>
        <w:trPr>
          <w:tblHeader/>
        </w:trPr>
        <w:tc>
          <w:tcPr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596 Rules</w:t>
            </w:r>
          </w:p>
        </w:tc>
        <w:tc>
          <w:tcPr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78 Municipalities</w:t>
            </w:r>
          </w:p>
        </w:tc>
        <w:tc>
          <w:tcPr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44 Tests — All Passing</w:t>
            </w:r>
          </w:p>
        </w:tc>
      </w:tr>
      <w:tr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8"/>
                <w:szCs w:val="18"/>
              </w:rPr>
              <w:t xml:space="preserve">Authored regulatory knowledge,
not generic templates</w:t>
            </w:r>
          </w:p>
        </w:tc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Full Puerto Rico coverage
with per-town precision</w:t>
            </w:r>
          </w:p>
        </w:tc>
        <w:tc>
          <w:tcPr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8"/>
                <w:szCs w:val="18"/>
              </w:rPr>
              <w:t xml:space="preserve">Engine behavior locked in;
every phase is safe to extend</w:t>
            </w:r>
          </w:p>
        </w:tc>
      </w:tr>
    </w:tbl>
    <w:p>
      <w:pPr>
        <w:spacing w:after="0" w:before="200"/>
      </w:pPr>
    </w:p>
    <w:p>
      <w:pPr>
        <w:jc w:val="center"/>
      </w:pPr>
      <w:r>
        <w:rPr>
          <w:rFonts w:ascii="Calibri" w:cs="Calibri" w:eastAsia="Calibri" w:hAnsi="Calibri"/>
          <w:color w:val="64748B"/>
          <w:sz w:val="16"/>
          <w:szCs w:val="16"/>
        </w:rPr>
        <w:t xml:space="preserve">SmartPR  ·  Confidential  ·  June 2026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SmartPR Investor Briefing — Municipality Coverage</dc:title>
  <dc:creator>SmartPR</dc:creator>
  <dc:description>Phases 1–7 of the Regulatory Knowledge Graph</dc:description>
  <cp:lastModifiedBy>Un-named</cp:lastModifiedBy>
  <cp:revision>1</cp:revision>
  <dcterms:created xsi:type="dcterms:W3CDTF">2026-06-15T22:47:09.493Z</dcterms:created>
  <dcterms:modified xsi:type="dcterms:W3CDTF">2026-06-15T22:47:09.493Z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