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78B" w:rsidRDefault="00E5078B" w:rsidP="000854C9">
      <w:pPr>
        <w:rPr>
          <w:color w:val="1F4E79" w:themeColor="accent1" w:themeShade="80"/>
        </w:rPr>
      </w:pPr>
      <w:r w:rsidRPr="00857C2B">
        <w:rPr>
          <w:color w:val="1F4E79" w:themeColor="accent1" w:themeShade="80"/>
        </w:rPr>
        <w:t>Acronyms</w:t>
      </w:r>
      <w:r w:rsidR="00857C2B" w:rsidRPr="00857C2B">
        <w:rPr>
          <w:color w:val="1F4E79" w:themeColor="accent1" w:themeShade="80"/>
        </w:rPr>
        <w:t xml:space="preserve"> and definitions</w:t>
      </w:r>
    </w:p>
    <w:p w:rsidR="006353F5" w:rsidRDefault="006353F5" w:rsidP="000854C9">
      <w:r w:rsidRPr="006353F5">
        <w:rPr>
          <w:b/>
        </w:rPr>
        <w:t>15N</w:t>
      </w:r>
      <w:r>
        <w:t xml:space="preserve"> = Stable isotope of nitrogen, it represents the 0.3663% of the N in atmosphere</w:t>
      </w:r>
    </w:p>
    <w:p w:rsidR="006353F5" w:rsidRPr="006353F5" w:rsidRDefault="006353F5" w:rsidP="000854C9">
      <w:r w:rsidRPr="006353F5">
        <w:rPr>
          <w:b/>
        </w:rPr>
        <w:t>δ</w:t>
      </w:r>
      <w:r w:rsidRPr="006353F5">
        <w:rPr>
          <w:b/>
          <w:vertAlign w:val="superscript"/>
        </w:rPr>
        <w:t>15</w:t>
      </w:r>
      <w:r w:rsidRPr="006353F5">
        <w:rPr>
          <w:b/>
        </w:rPr>
        <w:t>N</w:t>
      </w:r>
      <w:r w:rsidRPr="006353F5">
        <w:t xml:space="preserve"> =</w:t>
      </w:r>
      <w:r>
        <w:t xml:space="preserve"> a measure of the ratio of 15N/14N of a sample compared to the ratio of the standard, i.e. the ratio of the atmospheric nitrogen, express as a permil (</w:t>
      </w:r>
      <w:r w:rsidR="002F60B4" w:rsidRPr="002F60B4">
        <w:t>‰</w:t>
      </w:r>
      <w:r w:rsidR="002F60B4">
        <w:t>) value.</w:t>
      </w:r>
    </w:p>
    <w:p w:rsidR="0024096E" w:rsidRPr="0024096E" w:rsidRDefault="0024096E" w:rsidP="000854C9">
      <w:r w:rsidRPr="0024096E">
        <w:rPr>
          <w:b/>
        </w:rPr>
        <w:t>DBH</w:t>
      </w:r>
      <w:r>
        <w:t xml:space="preserve"> = diameter at breast height. </w:t>
      </w:r>
    </w:p>
    <w:p w:rsidR="00E5078B" w:rsidRDefault="00E5078B" w:rsidP="000854C9">
      <w:r w:rsidRPr="00A60D4D">
        <w:rPr>
          <w:b/>
        </w:rPr>
        <w:t>N</w:t>
      </w:r>
      <w:r w:rsidRPr="00A60D4D">
        <w:rPr>
          <w:b/>
          <w:vertAlign w:val="subscript"/>
        </w:rPr>
        <w:t>dep</w:t>
      </w:r>
      <w:r>
        <w:t xml:space="preserve"> = nitrogen deposition</w:t>
      </w:r>
      <w:r w:rsidR="00857C2B">
        <w:t xml:space="preserve">, input of reactive nitrogen from the atmosphere to the biosphere both as dry deposition and in precipitation, or wet deposition. </w:t>
      </w:r>
    </w:p>
    <w:p w:rsidR="00E5078B" w:rsidRDefault="00E5078B" w:rsidP="000854C9">
      <w:r w:rsidRPr="00A60D4D">
        <w:rPr>
          <w:b/>
        </w:rPr>
        <w:t>SF</w:t>
      </w:r>
      <w:r>
        <w:t xml:space="preserve"> = stemflow</w:t>
      </w:r>
      <w:r w:rsidR="00857C2B">
        <w:t>,</w:t>
      </w:r>
      <w:r>
        <w:t xml:space="preserve"> flow of intercepted water down the stem or trunk of a plant</w:t>
      </w:r>
      <w:r w:rsidR="0024096E">
        <w:t>.</w:t>
      </w:r>
    </w:p>
    <w:p w:rsidR="00E5078B" w:rsidRDefault="00857C2B" w:rsidP="000854C9">
      <w:r w:rsidRPr="00A60D4D">
        <w:rPr>
          <w:b/>
        </w:rPr>
        <w:t>TF</w:t>
      </w:r>
      <w:r>
        <w:t xml:space="preserve"> = </w:t>
      </w:r>
      <w:proofErr w:type="spellStart"/>
      <w:r>
        <w:t>through</w:t>
      </w:r>
      <w:r w:rsidR="002F60B4">
        <w:t>fall</w:t>
      </w:r>
      <w:proofErr w:type="spellEnd"/>
      <w:r w:rsidR="002F60B4">
        <w:t xml:space="preserve">, excess precipitation shed </w:t>
      </w:r>
      <w:r>
        <w:t>by wet leaves onto the ground.</w:t>
      </w:r>
    </w:p>
    <w:p w:rsidR="00A72AA3" w:rsidRDefault="00A62E84" w:rsidP="000854C9">
      <w:pPr>
        <w:pStyle w:val="Heading1"/>
      </w:pPr>
      <w:r>
        <w:t>Site description and methodology</w:t>
      </w:r>
    </w:p>
    <w:p w:rsidR="00764474" w:rsidRPr="00764474" w:rsidRDefault="00764474" w:rsidP="000854C9">
      <w:pPr>
        <w:pStyle w:val="Heading2"/>
      </w:pPr>
      <w:r>
        <w:t xml:space="preserve">Site </w:t>
      </w:r>
      <w:r w:rsidR="00976429">
        <w:t>description</w:t>
      </w:r>
    </w:p>
    <w:p w:rsidR="003228CF" w:rsidRDefault="006526B6" w:rsidP="006526B6">
      <w:r>
        <w:t>The experiment site is located in Griffin Forest, Perthshire (</w:t>
      </w:r>
      <w:r w:rsidR="00891EBF">
        <w:t xml:space="preserve">Scotland, </w:t>
      </w:r>
      <w:r>
        <w:t>UK)</w:t>
      </w:r>
      <w:r w:rsidR="003228CF">
        <w:t xml:space="preserve">, on the north facing slope of the Tay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w:t>
      </w:r>
      <w:r w:rsidR="00590BD1">
        <w:t>r year, with a maximum in 2014 of 1376.2 mm and a minimum in 2016 of768.6 mm (fig. 2)</w:t>
      </w:r>
      <w:r>
        <w:t>.</w:t>
      </w:r>
    </w:p>
    <w:p w:rsidR="00243FD2" w:rsidRDefault="00243FD2" w:rsidP="006526B6">
      <w:pPr>
        <w:rPr>
          <w:i/>
        </w:rPr>
      </w:pPr>
      <w:r>
        <w:rPr>
          <w:noProof/>
          <w:lang w:eastAsia="en-GB"/>
        </w:rPr>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lastRenderedPageBreak/>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w:t>
      </w:r>
      <w:proofErr w:type="spellStart"/>
      <w:r>
        <w:t>supergroup</w:t>
      </w:r>
      <w:proofErr w:type="spellEnd"/>
      <w:r>
        <w:t xml:space="preserve">, metamorphosed marine sediments of late-Precambrian and Lower Palaeozoic age </w:t>
      </w:r>
      <w:r>
        <w:fldChar w:fldCharType="begin"/>
      </w:r>
      <w:r>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r w:rsidR="00842E2E">
        <w:t xml:space="preserve"> The soil have been classified as a </w:t>
      </w:r>
      <w:proofErr w:type="spellStart"/>
      <w:r w:rsidR="00842E2E">
        <w:t>stagno-humic</w:t>
      </w:r>
      <w:proofErr w:type="spellEnd"/>
      <w:r w:rsidR="00842E2E">
        <w:t xml:space="preserve"> </w:t>
      </w:r>
      <w:proofErr w:type="spellStart"/>
      <w:r w:rsidR="00842E2E">
        <w:t>gley</w:t>
      </w:r>
      <w:proofErr w:type="spellEnd"/>
      <w:r w:rsidR="00842E2E">
        <w:t xml:space="preserve"> of the </w:t>
      </w:r>
      <w:proofErr w:type="spellStart"/>
      <w:r w:rsidR="00842E2E">
        <w:t>Strichen</w:t>
      </w:r>
      <w:proofErr w:type="spellEnd"/>
      <w:r w:rsidR="00842E2E">
        <w:t xml:space="preserve"> soil association </w: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 </w:instrTex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EN.CITE.DATA </w:instrText>
      </w:r>
      <w:r w:rsidR="00842E2E">
        <w:fldChar w:fldCharType="end"/>
      </w:r>
      <w:r w:rsidR="00842E2E">
        <w:fldChar w:fldCharType="separate"/>
      </w:r>
      <w:r w:rsidR="00842E2E">
        <w:rPr>
          <w:noProof/>
        </w:rPr>
        <w:t>(Clement, Jarvis et al. 2012)</w:t>
      </w:r>
      <w:r w:rsidR="00842E2E">
        <w:fldChar w:fldCharType="end"/>
      </w:r>
      <w:r w:rsidR="00842E2E">
        <w:t>.</w:t>
      </w:r>
    </w:p>
    <w:p w:rsidR="001107E3" w:rsidRDefault="001107E3" w:rsidP="000854C9">
      <w:r>
        <w:rPr>
          <w:noProof/>
          <w:lang w:eastAsia="en-GB"/>
        </w:rPr>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 xml:space="preserve">Fig:3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lastRenderedPageBreak/>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t xml:space="preserve">Fig:3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w:t>
      </w:r>
      <w:r w:rsidR="007D502C">
        <w:t xml:space="preserve">ree roots possible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7D502C">
        <w:t>.</w:t>
      </w:r>
    </w:p>
    <w:p w:rsidR="000854C9" w:rsidRDefault="000854C9" w:rsidP="000854C9">
      <w:pPr>
        <w:pStyle w:val="Heading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tent reached its maximum peak about 6,000 years ago, when an educated guess based on palynological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w:t>
      </w:r>
      <w:r w:rsidR="000854C9">
        <w:lastRenderedPageBreak/>
        <w:t xml:space="preserve">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 xml:space="preserve">percent during the Middle Ages </w:t>
      </w:r>
      <w:r w:rsidR="007D502C">
        <w:fldChar w:fldCharType="begin"/>
      </w:r>
      <w:r w:rsidR="007D502C">
        <w:instrText xml:space="preserve"> ADDIN EN.CITE &lt;EndNote&gt;&lt;Cite&gt;&lt;Author&gt;Smout&lt;/Author&gt;&lt;Year&gt;1997&lt;/Year&gt;&lt;RecNum&gt;63&lt;/RecNum&gt;&lt;DisplayText&gt;(Smout 1997)&lt;/DisplayText&gt;&lt;record&gt;&lt;rec-number&gt;63&lt;/rec-number&gt;&lt;foreign-keys&gt;&lt;key app="EN" db-id="arwpz50tppf20qes0adx5aztet0w9xtartsd" timestamp="1507736588"&gt;63&lt;/key&gt;&lt;/foreign-keys&gt;&lt;ref-type name="Edited Book"&gt;28&lt;/ref-type&gt;&lt;contributors&gt;&lt;authors&gt;&lt;author&gt;Smout, T. C.&lt;/author&gt;&lt;/authors&gt;&lt;/contributors&gt;&lt;titles&gt;&lt;title&gt;Scottish Woodland History&lt;/title&gt;&lt;/titles&gt;&lt;pages&gt;206&lt;/pages&gt;&lt;edition&gt;1st&lt;/edition&gt;&lt;dates&gt;&lt;year&gt;1997&lt;/year&gt;&lt;/dates&gt;&lt;publisher&gt;Scottish Cultural Press - Edinburgh&lt;/publisher&gt;&lt;isbn&gt;1898218536&lt;/isbn&gt;&lt;urls&gt;&lt;/urls&gt;&lt;/record&gt;&lt;/Cite&gt;&lt;/EndNote&gt;</w:instrText>
      </w:r>
      <w:r w:rsidR="007D502C">
        <w:fldChar w:fldCharType="separate"/>
      </w:r>
      <w:r w:rsidR="007D502C">
        <w:rPr>
          <w:noProof/>
        </w:rPr>
        <w:t>(Smout 1997)</w:t>
      </w:r>
      <w:r w:rsidR="007D502C">
        <w:fldChar w:fldCharType="end"/>
      </w:r>
      <w:r w:rsidR="007D502C">
        <w:t>.</w:t>
      </w:r>
    </w:p>
    <w:p w:rsidR="000854C9" w:rsidRDefault="001C4550" w:rsidP="000854C9">
      <w:r>
        <w:t>As written above, at the beginning of the 20</w:t>
      </w:r>
      <w:r w:rsidRPr="001C4550">
        <w:rPr>
          <w:vertAlign w:val="superscript"/>
        </w:rPr>
        <w:t>th</w:t>
      </w:r>
      <w:r>
        <w:t xml:space="preserve"> century forests counted for about 5% of the total land in UK. 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t</w:t>
      </w:r>
      <w:r w:rsidR="000854C9">
        <w:t>he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proofErr w:type="spellStart"/>
      <w:r w:rsidR="00485803">
        <w:t>Wolrd</w:t>
      </w:r>
      <w:proofErr w:type="spellEnd"/>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proofErr w:type="gramStart"/>
      <w:r w:rsidR="000854C9">
        <w:t>In</w:t>
      </w:r>
      <w:proofErr w:type="gramEnd"/>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is located in Scotland. Conifers account for the 51% of the overall forest cover and almost three quarters in Scotland. Sitka spruce accounts for around a half of the conifer area in UK, about 58% in Scotland </w:t>
      </w:r>
      <w:r w:rsidR="007D502C">
        <w:fldChar w:fldCharType="begin"/>
      </w:r>
      <w:r w:rsidR="00776D6C">
        <w:instrText xml:space="preserve"> ADDIN EN.CITE &lt;EndNote&gt;&lt;Cite&gt;&lt;Author&gt;Commission&lt;/Author&gt;&lt;Year&gt;2017&lt;/Year&gt;&lt;RecNum&gt;62&lt;/RecNum&gt;&lt;DisplayText&gt;(Forestry Commission 2017)&lt;/DisplayText&gt;&lt;record&gt;&lt;rec-number&gt;62&lt;/rec-number&gt;&lt;foreign-keys&gt;&lt;key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2017&lt;/date&gt;&lt;/pub-dates&gt;&lt;/dates&gt;&lt;urls&gt;&lt;related-urls&gt;&lt;url&gt;https://www.forestry.gov.uk/forestry/infd-7aqdgc&lt;/url&gt;&lt;/related-urls&gt;&lt;/urls&gt;&lt;/record&gt;&lt;/Cite&gt;&lt;Cite&gt;&lt;Author&gt;Forestry Commission&lt;/Author&gt;&lt;Year&gt;2017&lt;/Year&gt;&lt;RecNum&gt;62&lt;/RecNum&gt;&lt;record&gt;&lt;rec-number&gt;62&lt;/rec-number&gt;&lt;foreign-keys&gt;&lt;key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rsidR="007D502C">
        <w:fldChar w:fldCharType="separate"/>
      </w:r>
      <w:r w:rsidR="00776D6C">
        <w:rPr>
          <w:noProof/>
        </w:rPr>
        <w:t>(Forestry Commission 2017)</w:t>
      </w:r>
      <w:r w:rsidR="007D502C">
        <w:fldChar w:fldCharType="end"/>
      </w:r>
    </w:p>
    <w:p w:rsidR="00764474" w:rsidRDefault="00764474" w:rsidP="00976429">
      <w:pPr>
        <w:pStyle w:val="Heading3"/>
      </w:pPr>
      <w:r>
        <w:t>The plantation</w:t>
      </w:r>
    </w:p>
    <w:p w:rsidR="00485803" w:rsidRDefault="00485803" w:rsidP="00485803">
      <w:r>
        <w:t>Tompkins, Steve. Forestry in crisis. The battle for the hills. 1989. Christopher Helm, London.</w:t>
      </w:r>
    </w:p>
    <w:p w:rsidR="00485803" w:rsidRDefault="00485803" w:rsidP="00485803">
      <w:r>
        <w:t xml:space="preserve">“The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lodgepole pine used where the ground is poorest. Tree-breeding programmes are also ensuring that the genetic base of the plants used will steadily decrease. Blanket afforestation consists of even aged conifer </w:t>
      </w:r>
      <w:r w:rsidR="00697C16">
        <w:t>monocultures that</w:t>
      </w:r>
      <w:r>
        <w:t xml:space="preserve"> are harvested and replanted, like any crop of surplus grain, except that</w:t>
      </w:r>
      <w:r w:rsidR="00697C16">
        <w:t xml:space="preserve"> the trees take decades to grow. </w:t>
      </w:r>
    </w:p>
    <w:p w:rsidR="00485803" w:rsidRDefault="00485803" w:rsidP="00485803">
      <w:r>
        <w:t>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w:t>
      </w:r>
      <w:r w:rsidR="00697C16">
        <w:t xml:space="preserve">forested” </w:t>
      </w:r>
      <w:r w:rsidR="00697C16">
        <w:fldChar w:fldCharType="begin"/>
      </w:r>
      <w:r w:rsidR="00697C16">
        <w:instrText xml:space="preserve"> ADDIN EN.CITE &lt;EndNote&gt;&lt;Cite&gt;&lt;Author&gt;Tompkins&lt;/Author&gt;&lt;Year&gt;1989&lt;/Year&gt;&lt;RecNum&gt;60&lt;/RecNum&gt;&lt;DisplayText&gt;(Tompkins 1989)&lt;/DisplayText&gt;&lt;record&gt;&lt;rec-number&gt;60&lt;/rec-number&gt;&lt;foreign-keys&gt;&lt;key app="EN" db-id="arwpz50tppf20qes0adx5aztet0w9xtartsd" timestamp="1507118191"&gt;60&lt;/key&gt;&lt;/foreign-keys&gt;&lt;ref-type name="Book"&gt;6&lt;/ref-type&gt;&lt;contributors&gt;&lt;authors&gt;&lt;author&gt;Tompkins, S.&lt;/author&gt;&lt;/authors&gt;&lt;/contributors&gt;&lt;titles&gt;&lt;title&gt;Forestry in crisis: the battle for the hills&lt;/title&gt;&lt;/titles&gt;&lt;pages&gt;192&lt;/pages&gt;&lt;dates&gt;&lt;year&gt;1989&lt;/year&gt;&lt;/dates&gt;&lt;publisher&gt;Christopher Helm&lt;/publisher&gt;&lt;isbn&gt;9780747032069&lt;/isbn&gt;&lt;urls&gt;&lt;/urls&gt;&lt;/record&gt;&lt;/Cite&gt;&lt;/EndNote&gt;</w:instrText>
      </w:r>
      <w:r w:rsidR="00697C16">
        <w:fldChar w:fldCharType="separate"/>
      </w:r>
      <w:r w:rsidR="00697C16">
        <w:rPr>
          <w:noProof/>
        </w:rPr>
        <w:t>(Tompkins 1989)</w:t>
      </w:r>
      <w:r w:rsidR="00697C16">
        <w:fldChar w:fldCharType="end"/>
      </w:r>
      <w:r w:rsidR="00697C16">
        <w:t xml:space="preserve">. </w:t>
      </w:r>
    </w:p>
    <w:p w:rsidR="00467DB6" w:rsidRDefault="001E44E2" w:rsidP="00467DB6">
      <w:r>
        <w:t xml:space="preserve">Since the </w:t>
      </w:r>
      <w:r w:rsidR="0080662A">
        <w:t>Forest Census of 1995 the woodland area in Scotland is estimated to be grown of a further 7.5%</w:t>
      </w:r>
      <w:r w:rsidR="00FF62A4">
        <w:t xml:space="preserve"> </w:t>
      </w:r>
      <w:r w:rsidR="00FF62A4">
        <w:fldChar w:fldCharType="begin"/>
      </w:r>
      <w:r w:rsidR="00FF62A4">
        <w:instrText xml:space="preserve"> ADDIN EN.CITE &lt;EndNote&gt;&lt;Cite&gt;&lt;Author&gt;Forestry Commission&lt;/Author&gt;&lt;Year&gt;2011&lt;/Year&gt;&lt;RecNum&gt;65&lt;/RecNum&gt;&lt;DisplayText&gt;(Forestry Commission 2011)&lt;/DisplayText&gt;&lt;record&gt;&lt;rec-number&gt;65&lt;/rec-number&gt;&lt;foreign-keys&gt;&lt;key app="EN" db-id="arwpz50tppf20qes0adx5aztet0w9xtartsd" timestamp="1507737962"&gt;65&lt;/key&gt;&lt;/foreign-keys&gt;&lt;ref-type name="Electronic Article"&gt;43&lt;/ref-type&gt;&lt;contributors&gt;&lt;authors&gt;&lt;author&gt;Forestry Commission,&lt;/author&gt;&lt;/authors&gt;&lt;/contributors&gt;&lt;titles&gt;&lt;title&gt;National Forest Inventory Woodland Area Statistics: Scotland &lt;/title&gt;&lt;tertiary-title&gt;www.forestry.gov.uk&lt;/tertiary-title&gt;&lt;/titles&gt;&lt;pages&gt;17&lt;/pages&gt;&lt;dates&gt;&lt;year&gt;2011&lt;/year&gt;&lt;pub-dates&gt;&lt;date&gt;11/10/2017&lt;/date&gt;&lt;/pub-dates&gt;&lt;/dates&gt;&lt;publisher&gt;Forestry Commission&lt;/publisher&gt;&lt;urls&gt;&lt;/urls&gt;&lt;/record&gt;&lt;/Cite&gt;&lt;/EndNote&gt;</w:instrText>
      </w:r>
      <w:r w:rsidR="00FF62A4">
        <w:fldChar w:fldCharType="separate"/>
      </w:r>
      <w:r w:rsidR="00FF62A4">
        <w:rPr>
          <w:noProof/>
        </w:rPr>
        <w:t>(Forestry Commission 2011)</w:t>
      </w:r>
      <w:r w:rsidR="00FF62A4">
        <w:fldChar w:fldCharType="end"/>
      </w:r>
      <w:r w:rsidR="0080662A">
        <w:t xml:space="preserve">. In 1995, Sitka spruce represented about the 45% of the whole conifers in Tayside, over one third of the whole forest cover of the region. </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w:t>
      </w:r>
      <w:r w:rsidR="00E47992">
        <w:t>Before planting the trees heather (</w:t>
      </w:r>
      <w:proofErr w:type="spellStart"/>
      <w:r w:rsidR="00842E2E">
        <w:rPr>
          <w:i/>
        </w:rPr>
        <w:t>Calluna</w:t>
      </w:r>
      <w:proofErr w:type="spellEnd"/>
      <w:r w:rsidR="00842E2E">
        <w:rPr>
          <w:i/>
        </w:rPr>
        <w:t xml:space="preserve"> vulgaris </w:t>
      </w:r>
      <w:r w:rsidR="00842E2E" w:rsidRPr="00842E2E">
        <w:t>(L.) Hull</w:t>
      </w:r>
      <w:r w:rsidR="00E47992">
        <w:t xml:space="preserve">) was burnt and the ground was ploughed in depth, originating a surface characterised by 3 different features: ridge, furrow and </w:t>
      </w:r>
      <w:r w:rsidR="00697C16">
        <w:lastRenderedPageBreak/>
        <w:t>undisturbed soil;</w:t>
      </w:r>
      <w:r w:rsidR="00E47992">
        <w:t xml:space="preserve"> ridges</w:t>
      </w:r>
      <w:r w:rsidR="00415D6F">
        <w:t xml:space="preserve"> lay at 1.9 m from each other. Trees were planted at a distance of 1.9 m on the ridges, so that the total number of trees was of 2770 trees/ha </w: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 </w:instrTex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EN.CITE.DATA </w:instrText>
      </w:r>
      <w:r w:rsidR="00415D6F">
        <w:fldChar w:fldCharType="end"/>
      </w:r>
      <w:r w:rsidR="00415D6F">
        <w:fldChar w:fldCharType="separate"/>
      </w:r>
      <w:r w:rsidR="00415D6F">
        <w:rPr>
          <w:noProof/>
        </w:rPr>
        <w:t>(Clement, Jarvis et al. 2012)</w:t>
      </w:r>
      <w:r w:rsidR="00415D6F">
        <w:fldChar w:fldCharType="end"/>
      </w:r>
      <w:r w:rsidR="00415D6F">
        <w:t xml:space="preserve">. </w:t>
      </w:r>
    </w:p>
    <w:p w:rsidR="00415D6F" w:rsidRDefault="00EB5A42" w:rsidP="00EB5A42">
      <w:r>
        <w:t xml:space="preserve">The about </w:t>
      </w:r>
      <w:r w:rsidR="00193333">
        <w:t>4</w:t>
      </w:r>
      <w:r>
        <w:t>,000 ha were planted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xml:space="preserve">) </w:t>
      </w:r>
      <w:proofErr w:type="spellStart"/>
      <w:r>
        <w:t>Carriere</w:t>
      </w:r>
      <w:proofErr w:type="spellEnd"/>
      <w:r>
        <w:t xml:space="preserv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Hyperlink"/>
          <w:i/>
          <w:iCs/>
          <w:color w:val="auto"/>
        </w:rPr>
        <w:t>Larix</w:t>
      </w:r>
      <w:proofErr w:type="spellEnd"/>
      <w:r w:rsidRPr="007C6DF9">
        <w:rPr>
          <w:rStyle w:val="Hyperlink"/>
          <w:i/>
          <w:iCs/>
          <w:color w:val="auto"/>
        </w:rPr>
        <w:t xml:space="preserve"> </w:t>
      </w:r>
      <w:proofErr w:type="spellStart"/>
      <w:r w:rsidRPr="007C6DF9">
        <w:rPr>
          <w:rStyle w:val="Hyperlink"/>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proofErr w:type="spellStart"/>
      <w:r w:rsidRPr="00EF3F70">
        <w:rPr>
          <w:i/>
        </w:rPr>
        <w:t>Pinus</w:t>
      </w:r>
      <w:proofErr w:type="spellEnd"/>
      <w:r w:rsidRPr="00EF3F70">
        <w:rPr>
          <w:i/>
        </w:rPr>
        <w:t xml:space="preserve">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p>
    <w:p w:rsidR="00467DB6" w:rsidRPr="00467DB6" w:rsidRDefault="00467DB6" w:rsidP="00EB5A42">
      <w:r w:rsidRPr="00467DB6">
        <w:t xml:space="preserve">Thinning was carried out in 2003/4 on the east side of the forest and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 xml:space="preserve">s were removed, bringing the present density to </w:t>
      </w:r>
      <w:r w:rsidR="00415D6F">
        <w:t>about 1750</w:t>
      </w:r>
      <w:r w:rsidR="00DB76C3">
        <w:t xml:space="preserve"> trees per hectare.</w:t>
      </w:r>
    </w:p>
    <w:p w:rsidR="00EB5A42" w:rsidRDefault="00EB5A42" w:rsidP="00EB5A42">
      <w:r>
        <w:t xml:space="preserve">Topographic description (Clement paper, </w:t>
      </w:r>
      <w:proofErr w:type="spellStart"/>
      <w:r>
        <w:t>Ecocraft</w:t>
      </w:r>
      <w:proofErr w:type="spellEnd"/>
      <w:r>
        <w:t>).</w:t>
      </w:r>
    </w:p>
    <w:p w:rsidR="00EC1CFC" w:rsidRDefault="00EC1CFC" w:rsidP="00AF4434">
      <w:r>
        <w:t>Rationale of forest plantation: Jarvis jpg from carbon experiment.</w:t>
      </w:r>
    </w:p>
    <w:p w:rsidR="0091302D" w:rsidRDefault="0091302D" w:rsidP="0091302D">
      <w:r>
        <w:t>Soil description. Richard Nair plots.</w:t>
      </w:r>
    </w:p>
    <w:p w:rsidR="00976429" w:rsidRDefault="00B14AA4" w:rsidP="00976429">
      <w:pPr>
        <w:pStyle w:val="Heading2"/>
      </w:pPr>
      <w:r>
        <w:t>Experimental design</w:t>
      </w:r>
    </w:p>
    <w:p w:rsidR="0091302D" w:rsidRDefault="0091302D" w:rsidP="0091302D">
      <w:r>
        <w:t>Separate description for each experiment here or to be restructured on an “experiment” base?</w:t>
      </w:r>
      <w:r w:rsidR="001C3DFD">
        <w:t xml:space="preserve"> </w:t>
      </w:r>
    </w:p>
    <w:p w:rsidR="001D6D4D" w:rsidRDefault="001D6D4D" w:rsidP="001D6D4D">
      <w:pPr>
        <w:pStyle w:val="Heading3"/>
      </w:pPr>
      <w:r>
        <w:t>The plots</w:t>
      </w:r>
    </w:p>
    <w:p w:rsidR="008B61DD" w:rsidRDefault="008B61DD" w:rsidP="001D6D4D">
      <w:r>
        <w:t xml:space="preserve">The </w:t>
      </w:r>
      <w:proofErr w:type="spellStart"/>
      <w:r>
        <w:t>originary</w:t>
      </w:r>
      <w:proofErr w:type="spellEnd"/>
      <w:r>
        <w:t xml:space="preserve"> project aimed to compare two plots with similar features, </w:t>
      </w:r>
      <w:r w:rsidR="0077775C">
        <w:t xml:space="preserve">one of them set </w:t>
      </w:r>
      <w:r>
        <w:t>a</w:t>
      </w:r>
      <w:r w:rsidR="0077775C">
        <w:t>s</w:t>
      </w:r>
      <w:r>
        <w:t xml:space="preserve"> control plot (C) and a treatment plot </w:t>
      </w:r>
      <w:r w:rsidR="0077775C">
        <w:t xml:space="preserve">(T) </w:t>
      </w:r>
      <w:r>
        <w:t>where a solution containing 15N-labelled NH</w:t>
      </w:r>
      <w:r w:rsidRPr="008B61DD">
        <w:rPr>
          <w:vertAlign w:val="subscript"/>
        </w:rPr>
        <w:t>4</w:t>
      </w:r>
      <w:r>
        <w:t>NO</w:t>
      </w:r>
      <w:r w:rsidRPr="008B61DD">
        <w:rPr>
          <w:vertAlign w:val="subscript"/>
        </w:rPr>
        <w:t>3</w:t>
      </w:r>
      <w:r>
        <w:t xml:space="preserve"> had to be sprayed over the canopy, similarly to Gaige et al (2017) experiment. </w:t>
      </w:r>
      <w:r w:rsidR="0077775C">
        <w:t xml:space="preserve">Due to some </w:t>
      </w:r>
      <w:r w:rsidR="00415D6F">
        <w:t>constraints</w:t>
      </w:r>
      <w:r w:rsidR="0077775C">
        <w:t xml:space="preserve">, the idea of the treatment was abandoned and the two plots have become a replica. </w:t>
      </w:r>
      <w:r>
        <w:t xml:space="preserve">Within the Griffin forest, two plots have been set, </w:t>
      </w:r>
      <w:r w:rsidR="00FB27A3">
        <w:t xml:space="preserve">at a similar altitude and </w:t>
      </w:r>
      <w:r w:rsidR="0077775C">
        <w:t>orientation</w:t>
      </w:r>
      <w:r w:rsidR="00FB27A3">
        <w:t>.</w:t>
      </w:r>
    </w:p>
    <w:p w:rsidR="001D6D4D" w:rsidRDefault="001D6D4D" w:rsidP="001D6D4D">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1D6D4D" w:rsidRPr="00EF3F70" w:rsidRDefault="001D6D4D" w:rsidP="001D6D4D">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1D6D4D" w:rsidRPr="001D6D4D" w:rsidRDefault="008B61DD" w:rsidP="001D6D4D">
      <w:r>
        <w:t>In each of the plot 3 s</w:t>
      </w:r>
      <w:r w:rsidR="001D6D4D">
        <w:t xml:space="preserve">ubplots </w:t>
      </w:r>
      <w:r>
        <w:t xml:space="preserve">were identified, each of these </w:t>
      </w:r>
      <w:r w:rsidR="00B14AA4">
        <w:t xml:space="preserve">covering similar </w:t>
      </w:r>
      <w:r>
        <w:t>feature</w:t>
      </w:r>
      <w:r w:rsidR="00B14AA4">
        <w:t>s</w:t>
      </w:r>
      <w:r>
        <w:t xml:space="preserve"> of fore</w:t>
      </w:r>
      <w:r w:rsidR="00B14AA4">
        <w:t xml:space="preserve">st cover. A storm in </w:t>
      </w:r>
      <w:r w:rsidR="00EA5EE5">
        <w:t>2014?</w:t>
      </w:r>
      <w:r w:rsidR="00B14AA4">
        <w:t xml:space="preserve"> </w:t>
      </w:r>
      <w:proofErr w:type="gramStart"/>
      <w:r w:rsidR="00B14AA4">
        <w:t>caused</w:t>
      </w:r>
      <w:proofErr w:type="gramEnd"/>
      <w:r w:rsidR="00B14AA4">
        <w:t xml:space="preserve"> a </w:t>
      </w:r>
      <w:r w:rsidR="00EA5EE5">
        <w:t>notable</w:t>
      </w:r>
      <w:r w:rsidR="00B14AA4">
        <w:t xml:space="preserve"> damage at the C site. As a result,</w:t>
      </w:r>
      <w:r w:rsidR="00EA5EE5">
        <w:t xml:space="preserve"> even if the installed collectors did not suffer damages,</w:t>
      </w:r>
      <w:r w:rsidR="00B37E62">
        <w:t xml:space="preserve"> the C plot </w:t>
      </w:r>
      <w:r w:rsidR="00EA5EE5">
        <w:t xml:space="preserve">forest cover is locally less dense and </w:t>
      </w:r>
      <w:r w:rsidR="00B37E62">
        <w:t>could show different soil and air temperature than the T plot, especially</w:t>
      </w:r>
      <w:r w:rsidR="00B14AA4">
        <w:t xml:space="preserve"> in the subplot</w:t>
      </w:r>
      <w:r w:rsidR="00B37E62">
        <w:t>s</w:t>
      </w:r>
      <w:r w:rsidR="00B14AA4">
        <w:t xml:space="preserve"> C10 and </w:t>
      </w:r>
      <w:r w:rsidR="00B37E62">
        <w:t>C11.</w:t>
      </w:r>
    </w:p>
    <w:p w:rsidR="00AF4434" w:rsidRDefault="0091302D" w:rsidP="0091302D">
      <w:pPr>
        <w:pStyle w:val="Heading3"/>
      </w:pPr>
      <w:r>
        <w:t xml:space="preserve">Water and litter </w:t>
      </w:r>
      <w:r w:rsidRPr="00C07817">
        <w:t>samples</w:t>
      </w:r>
      <w:r>
        <w:t xml:space="preserve"> collection</w:t>
      </w:r>
    </w:p>
    <w:p w:rsidR="00026A75" w:rsidRDefault="0091302D" w:rsidP="0091302D">
      <w:r>
        <w:t>The core o</w:t>
      </w:r>
      <w:r w:rsidR="00F8654B">
        <w:t>f the experiment aimed</w:t>
      </w:r>
      <w:r w:rsidR="00B14AA4">
        <w:t>(s)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proofErr w:type="spellStart"/>
      <w:r w:rsidR="00B14AA4">
        <w:t>throughfall</w:t>
      </w:r>
      <w:proofErr w:type="spellEnd"/>
      <w:r w:rsidR="00B14AA4">
        <w:t>/</w:t>
      </w:r>
      <w:r w:rsidR="00026A75">
        <w:t xml:space="preserve">litter and </w:t>
      </w:r>
      <w:r w:rsidR="0077775C">
        <w:t xml:space="preserve">22 </w:t>
      </w:r>
      <w:proofErr w:type="spellStart"/>
      <w:r w:rsidR="00026A75">
        <w:t>stemflow</w:t>
      </w:r>
      <w:proofErr w:type="spellEnd"/>
      <w:r w:rsidR="00026A75">
        <w:t xml:space="preserve">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91302D">
      <w:r w:rsidRPr="00427FB4">
        <w:rPr>
          <w:color w:val="1F4E79" w:themeColor="accent1" w:themeShade="80"/>
        </w:rPr>
        <w:t>Rainfall gauges</w:t>
      </w:r>
      <w:r>
        <w:t xml:space="preserve">. </w:t>
      </w:r>
      <w:r w:rsidR="00F8654B">
        <w:t>Two ra</w:t>
      </w:r>
      <w:r>
        <w:t>infall gauge</w:t>
      </w:r>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in two open areas</w:t>
      </w:r>
      <w:r w:rsidR="00B37E62">
        <w:t>, sufficiently</w:t>
      </w:r>
      <w:r w:rsidR="00A46AC8">
        <w:t xml:space="preserve"> </w:t>
      </w:r>
      <w:r>
        <w:t>far from the plantation</w:t>
      </w:r>
      <w:r w:rsidR="00B37E62">
        <w:t xml:space="preserve"> so </w:t>
      </w:r>
      <w:r w:rsidR="00A46AC8">
        <w:t>to minimise any turbulence due to the presence of high obstacles.</w:t>
      </w:r>
      <w:r w:rsidR="00923027">
        <w:t xml:space="preserve"> In the upper </w:t>
      </w:r>
      <w:r w:rsidR="00B37E62">
        <w:t xml:space="preserve">rain gauge station the “harp-wire” collector was installed at short distance from the rainfall gauge. </w:t>
      </w:r>
      <w:r w:rsidR="00153DA4">
        <w:t xml:space="preserve">In each of the bottles 2.5 ml (5 ml in the bigger bottle for the cloud water collection) of concentrated ortho-phosphoric acid was added as biocide agent. No biocide agent was used in the </w:t>
      </w:r>
      <w:proofErr w:type="spellStart"/>
      <w:r w:rsidR="00153DA4">
        <w:t>throughfall</w:t>
      </w:r>
      <w:proofErr w:type="spellEnd"/>
      <w:r w:rsidR="00153DA4">
        <w:t xml:space="preserve"> and </w:t>
      </w:r>
      <w:proofErr w:type="spellStart"/>
      <w:r w:rsidR="00153DA4">
        <w:t>stemflow</w:t>
      </w:r>
      <w:proofErr w:type="spellEnd"/>
      <w:r w:rsidR="00153DA4">
        <w:t xml:space="preserve"> collectors, due to the high volumes of sample collected and the need to discharge in situ most of the sample. </w:t>
      </w:r>
    </w:p>
    <w:p w:rsidR="00EA5EE5" w:rsidRDefault="00427FB4" w:rsidP="00EA5EE5">
      <w:r w:rsidRPr="00427FB4">
        <w:rPr>
          <w:color w:val="1F4E79" w:themeColor="accent1" w:themeShade="80"/>
        </w:rPr>
        <w:lastRenderedPageBreak/>
        <w:t>Throughfall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Throughfall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w:t>
      </w:r>
      <w:r w:rsidR="00857C3B">
        <w:t>colander</w:t>
      </w:r>
      <w:r>
        <w:t xml:space="preserve"> (r=12</w:t>
      </w:r>
      <w:proofErr w:type="gramStart"/>
      <w:r>
        <w:t>,25</w:t>
      </w:r>
      <w:proofErr w:type="gramEnd"/>
      <w:r>
        <w:t xml:space="preserve">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and square barrels). This volume is then turned into mean </w:t>
      </w:r>
      <w:proofErr w:type="spellStart"/>
      <w:r w:rsidR="00B37E62">
        <w:t>throughfall</w:t>
      </w:r>
      <w:proofErr w:type="spellEnd"/>
      <w:r w:rsidR="00B37E62">
        <w:t xml:space="preserve"> deposition by dividing each water volume by the total surface projection of the gutters and the </w:t>
      </w:r>
      <w:r w:rsidR="00857C3B">
        <w:t>colander</w:t>
      </w:r>
      <w:r w:rsidR="00E361C9">
        <w:t>, as follows:</w:t>
      </w:r>
    </w:p>
    <w:p w:rsidR="00EA5EE5" w:rsidRPr="001F6AD7" w:rsidRDefault="00EA5EE5" w:rsidP="00EA5EE5">
      <m:oMathPara>
        <m:oMath>
          <m:sSub>
            <m:sSubPr>
              <m:ctrlPr>
                <w:rPr>
                  <w:rFonts w:ascii="Cambria Math" w:hAnsi="Cambria Math"/>
                  <w:i/>
                </w:rPr>
              </m:ctrlPr>
            </m:sSubPr>
            <m:e>
              <m:r>
                <w:rPr>
                  <w:rFonts w:ascii="Cambria Math" w:hAnsi="Cambria Math"/>
                </w:rPr>
                <m:t>T</m:t>
              </m:r>
              <m:r>
                <w:rPr>
                  <w:rFonts w:ascii="Cambria Math" w:hAnsi="Cambria Math"/>
                </w:rPr>
                <m:t>F</m:t>
              </m:r>
            </m:e>
            <m:sub>
              <m:r>
                <w:rPr>
                  <w:rFonts w:ascii="Cambria Math" w:hAnsi="Cambria Math"/>
                </w:rPr>
                <m:t>mean</m:t>
              </m:r>
            </m:sub>
          </m:sSub>
          <m:r>
            <w:rPr>
              <w:rFonts w:ascii="Cambria Math" w:hAnsi="Cambria Math"/>
            </w:rPr>
            <m:t>/ha</m:t>
          </m:r>
          <m:r>
            <w:rPr>
              <w:rFonts w:ascii="Cambria Math" w:hAnsi="Cambria Math"/>
            </w:rPr>
            <m:t>=</m:t>
          </m:r>
          <m:d>
            <m:dPr>
              <m:ctrlPr>
                <w:rPr>
                  <w:rFonts w:ascii="Cambria Math" w:hAnsi="Cambria Math"/>
                  <w:i/>
                </w:rPr>
              </m:ctrlPr>
            </m:dPr>
            <m:e>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num>
                <m:den>
                  <m:r>
                    <w:rPr>
                      <w:rFonts w:ascii="Cambria Math" w:hAnsi="Cambria Math"/>
                    </w:rPr>
                    <m:t>n</m:t>
                  </m:r>
                </m:den>
              </m:f>
            </m:e>
          </m:d>
          <m:r>
            <w:rPr>
              <w:rFonts w:ascii="Cambria Math" w:hAnsi="Cambria Math"/>
            </w:rPr>
            <m:t>×</m:t>
          </m:r>
          <m:r>
            <w:rPr>
              <w:rFonts w:ascii="Cambria Math" w:hAnsi="Cambria Math"/>
            </w:rPr>
            <m:t>10000</m:t>
          </m:r>
        </m:oMath>
      </m:oMathPara>
    </w:p>
    <w:p w:rsidR="00EA5EE5" w:rsidRDefault="00EA5EE5" w:rsidP="00EA5EE5">
      <w:r>
        <w:t xml:space="preserve">Where </w:t>
      </w:r>
    </w:p>
    <w:p w:rsidR="00EA5EE5" w:rsidRDefault="00EA5EE5" w:rsidP="00EA5EE5">
      <w:r>
        <w:rPr>
          <w:i/>
        </w:rPr>
        <w:t>n</w:t>
      </w:r>
      <w:r>
        <w:t xml:space="preserve"> = number of </w:t>
      </w:r>
      <w:r>
        <w:t>TF collectors</w:t>
      </w:r>
    </w:p>
    <w:p w:rsidR="00EA5EE5" w:rsidRDefault="00EA5EE5" w:rsidP="00EA5EE5">
      <w:proofErr w:type="gramStart"/>
      <w:r w:rsidRPr="00D33D1B">
        <w:rPr>
          <w:i/>
        </w:rPr>
        <w:t>V</w:t>
      </w:r>
      <w:r w:rsidRPr="00D33D1B">
        <w:rPr>
          <w:i/>
          <w:vertAlign w:val="subscript"/>
        </w:rPr>
        <w:t>i</w:t>
      </w:r>
      <w:proofErr w:type="gramEnd"/>
      <w:r>
        <w:t xml:space="preserve"> = volume of the </w:t>
      </w:r>
      <w:proofErr w:type="spellStart"/>
      <w:r>
        <w:t>throughfall</w:t>
      </w:r>
      <w:proofErr w:type="spellEnd"/>
      <w:r>
        <w:t xml:space="preserve"> as calculated in the </w:t>
      </w:r>
      <w:proofErr w:type="spellStart"/>
      <w:r w:rsidRPr="00D33D1B">
        <w:rPr>
          <w:i/>
        </w:rPr>
        <w:t>i</w:t>
      </w:r>
      <w:proofErr w:type="spellEnd"/>
      <w:r>
        <w:t xml:space="preserve"> barrel calculated through </w:t>
      </w:r>
      <w:r>
        <w:t xml:space="preserve">the </w:t>
      </w:r>
      <w:r>
        <w:t xml:space="preserve">calibration formula </w:t>
      </w:r>
      <w:r w:rsidR="00857C3B">
        <w:t>specific of each barrel type</w:t>
      </w:r>
      <w:r>
        <w:t>;</w:t>
      </w:r>
    </w:p>
    <w:p w:rsidR="00EA5EE5" w:rsidRDefault="00EA5EE5" w:rsidP="00EA5EE5">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≅w*l*</m:t>
        </m:r>
        <m:func>
          <m:funcPr>
            <m:ctrlPr>
              <w:rPr>
                <w:rFonts w:ascii="Cambria Math" w:hAnsi="Cambria Math"/>
                <w:i/>
              </w:rPr>
            </m:ctrlPr>
          </m:funcPr>
          <m:fName>
            <m:r>
              <m:rPr>
                <m:sty m:val="p"/>
              </m:rPr>
              <w:rPr>
                <w:rFonts w:ascii="Cambria Math" w:hAnsi="Cambria Math"/>
              </w:rPr>
              <m:t>cos</m:t>
            </m:r>
          </m:fName>
          <m:e>
            <m:r>
              <w:rPr>
                <w:rFonts w:ascii="Cambria Math" w:hAnsi="Cambria Math"/>
              </w:rPr>
              <m:t>α*2+π</m:t>
            </m:r>
            <m:sSup>
              <m:sSupPr>
                <m:ctrlPr>
                  <w:rPr>
                    <w:rFonts w:ascii="Cambria Math" w:hAnsi="Cambria Math"/>
                    <w:i/>
                  </w:rPr>
                </m:ctrlPr>
              </m:sSupPr>
              <m:e>
                <m:r>
                  <w:rPr>
                    <w:rFonts w:ascii="Cambria Math" w:hAnsi="Cambria Math"/>
                  </w:rPr>
                  <m:t>r</m:t>
                </m:r>
              </m:e>
              <m:sup>
                <m:r>
                  <w:rPr>
                    <w:rFonts w:ascii="Cambria Math" w:hAnsi="Cambria Math"/>
                  </w:rPr>
                  <m:t>2</m:t>
                </m:r>
              </m:sup>
            </m:sSup>
          </m:e>
        </m:func>
      </m:oMath>
      <w:r>
        <w:t xml:space="preserve">, </w:t>
      </w:r>
    </w:p>
    <w:p w:rsidR="00EA5EE5" w:rsidRDefault="00EA5EE5" w:rsidP="00EA5EE5">
      <w:r w:rsidRPr="004D13E0">
        <w:rPr>
          <w:i/>
        </w:rPr>
        <w:t>w</w:t>
      </w:r>
      <w:r>
        <w:rPr>
          <w:i/>
        </w:rPr>
        <w:t xml:space="preserve"> </w:t>
      </w:r>
      <w:r>
        <w:t xml:space="preserve">= </w:t>
      </w:r>
      <w:proofErr w:type="spellStart"/>
      <w:r>
        <w:t>throughfall</w:t>
      </w:r>
      <w:proofErr w:type="spellEnd"/>
      <w:r>
        <w:t xml:space="preserve"> gutter width</w:t>
      </w:r>
    </w:p>
    <w:p w:rsidR="00857C3B" w:rsidRDefault="00EA5EE5" w:rsidP="00EA5EE5">
      <w:r w:rsidRPr="004D13E0">
        <w:rPr>
          <w:i/>
        </w:rPr>
        <w:t>l</w:t>
      </w:r>
      <w:r>
        <w:t xml:space="preserve"> = </w:t>
      </w:r>
      <w:proofErr w:type="spellStart"/>
      <w:r>
        <w:t>throughfall</w:t>
      </w:r>
      <w:proofErr w:type="spellEnd"/>
      <w:r>
        <w:t xml:space="preserve"> gutter length </w:t>
      </w:r>
    </w:p>
    <w:p w:rsidR="00EA5EE5" w:rsidRDefault="00EA5EE5" w:rsidP="00EA5EE5">
      <w:r w:rsidRPr="00D33D1B">
        <w:rPr>
          <w:i/>
        </w:rPr>
        <w:t>α</w:t>
      </w:r>
      <w:r>
        <w:t xml:space="preserve"> = gutter angle</w:t>
      </w:r>
    </w:p>
    <w:p w:rsidR="00EA5EE5" w:rsidRDefault="00EA5EE5" w:rsidP="00EA5EE5">
      <w:r w:rsidRPr="004D13E0">
        <w:rPr>
          <w:i/>
        </w:rPr>
        <w:t>r</w:t>
      </w:r>
      <w:r>
        <w:rPr>
          <w:i/>
        </w:rPr>
        <w:t xml:space="preserve"> </w:t>
      </w:r>
      <w:r>
        <w:t>= filtrating bowl radius</w:t>
      </w:r>
    </w:p>
    <w:p w:rsidR="001B0A09" w:rsidRPr="001B0A09" w:rsidRDefault="001B0A09" w:rsidP="00EA5EE5">
      <w:pPr>
        <w:rPr>
          <w:color w:val="1F4E79" w:themeColor="accent1" w:themeShade="80"/>
        </w:rPr>
      </w:pPr>
      <w:r w:rsidRPr="001B0A09">
        <w:rPr>
          <w:color w:val="1F4E79" w:themeColor="accent1" w:themeShade="80"/>
        </w:rPr>
        <w:t>Litter collection</w:t>
      </w:r>
      <w:r>
        <w:rPr>
          <w:color w:val="1F4E79" w:themeColor="accent1" w:themeShade="80"/>
        </w:rPr>
        <w:t xml:space="preserve"> </w:t>
      </w:r>
      <w:r>
        <w:rPr>
          <w:color w:val="1F4E79" w:themeColor="accent1" w:themeShade="80"/>
        </w:rPr>
        <w:t>***</w:t>
      </w:r>
      <w:bookmarkStart w:id="0" w:name="_GoBack"/>
      <w:bookmarkEnd w:id="0"/>
    </w:p>
    <w:p w:rsidR="00E800C8" w:rsidRDefault="00EB27EC" w:rsidP="0091302D">
      <w:proofErr w:type="spellStart"/>
      <w:r>
        <w:rPr>
          <w:color w:val="1F4E79" w:themeColor="accent1" w:themeShade="80"/>
        </w:rPr>
        <w:t>Stemflow</w:t>
      </w:r>
      <w:proofErr w:type="spellEnd"/>
      <w:r w:rsidRPr="00427FB4">
        <w:rPr>
          <w:color w:val="1F4E79" w:themeColor="accent1" w:themeShade="80"/>
        </w:rPr>
        <w:t xml:space="preserve"> </w:t>
      </w:r>
      <w:r w:rsidR="00E361C9">
        <w:rPr>
          <w:color w:val="1F4E79" w:themeColor="accent1" w:themeShade="80"/>
        </w:rPr>
        <w:t>samples</w:t>
      </w:r>
      <w:r>
        <w:rPr>
          <w:color w:val="1F4E79" w:themeColor="accent1" w:themeShade="80"/>
        </w:rPr>
        <w:t xml:space="preserve">. </w:t>
      </w:r>
      <w:r w:rsidR="00153DA4">
        <w:t xml:space="preserve">Kate doc. </w:t>
      </w:r>
      <w:r w:rsidR="0024096E">
        <w:t>The rationale of the sample distribution follows</w:t>
      </w:r>
      <w:r w:rsidR="00054781">
        <w:t xml:space="preserve"> the assumption that there is a linear relationship between (DBH)</w:t>
      </w:r>
      <w:r w:rsidR="00054781" w:rsidRPr="00054781">
        <w:rPr>
          <w:vertAlign w:val="superscript"/>
        </w:rPr>
        <w:t>2</w:t>
      </w:r>
      <w:r w:rsidR="00054781">
        <w:t xml:space="preserve"> and </w:t>
      </w:r>
      <w:proofErr w:type="spellStart"/>
      <w:r w:rsidR="00054781">
        <w:t>stemflow</w:t>
      </w:r>
      <w:proofErr w:type="spellEnd"/>
      <w:r w:rsidR="00054781">
        <w:t xml:space="preserve"> volume as found by </w:t>
      </w:r>
      <w:r w:rsidR="00054781">
        <w:fldChar w:fldCharType="begin">
          <w:fldData xml:space="preserve">PEVuZE5vdGU+PENpdGUgQXV0aG9yWWVhcj0iMSI+PEF1dGhvcj5IZWFsPC9BdXRob3I+PFllYXI+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</w:fldData>
        </w:fldChar>
      </w:r>
      <w:r w:rsidR="00054781">
        <w:instrText xml:space="preserve"> ADDIN EN.CITE </w:instrText>
      </w:r>
      <w:r w:rsidR="00054781">
        <w:fldChar w:fldCharType="begin">
          <w:fldData xml:space="preserve">PEVuZE5vdGU+PENpdGUgQXV0aG9yWWVhcj0iMSI+PEF1dGhvcj5IZWFsPC9BdXRob3I+PFllYXI+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</w:fldData>
        </w:fldChar>
      </w:r>
      <w:r w:rsidR="00054781">
        <w:instrText xml:space="preserve"> ADDIN EN.CITE.DATA </w:instrText>
      </w:r>
      <w:r w:rsidR="00054781">
        <w:fldChar w:fldCharType="end"/>
      </w:r>
      <w:r w:rsidR="00054781">
        <w:fldChar w:fldCharType="separate"/>
      </w:r>
      <w:r w:rsidR="00054781">
        <w:rPr>
          <w:noProof/>
        </w:rPr>
        <w:t>Heal, Stidson et al. (2004)</w:t>
      </w:r>
      <w:r w:rsidR="00054781">
        <w:fldChar w:fldCharType="end"/>
      </w:r>
      <w:r w:rsidR="0024096E">
        <w:t xml:space="preserve"> the information gathered through a DBH survey conducted in 2011 in both plots - updated in winter 2016</w:t>
      </w:r>
      <w:r w:rsidR="00054781">
        <w:t>*.</w:t>
      </w:r>
      <w:r w:rsidR="0024096E">
        <w:t xml:space="preserve"> The surveyed trees have been divided in 8 classes</w:t>
      </w:r>
      <w:r w:rsidR="00E800C8">
        <w:t xml:space="preserve">; 17stemflow samplers were deployed in </w:t>
      </w:r>
      <w:proofErr w:type="spellStart"/>
      <w:r w:rsidR="00E800C8">
        <w:t>unthinned</w:t>
      </w:r>
      <w:proofErr w:type="spellEnd"/>
      <w:r w:rsidR="00E800C8">
        <w:t xml:space="preserve"> rows, representative of each of the 8 classes. 5 more samplers were deployed with the aim of assessing the effect of thinning: 3 were attached to the north edge of a thinned row, whilst other 2 were deployed in an </w:t>
      </w:r>
      <w:proofErr w:type="spellStart"/>
      <w:r w:rsidR="00E800C8">
        <w:t>unthinned</w:t>
      </w:r>
      <w:proofErr w:type="spellEnd"/>
      <w:r w:rsidR="00E800C8">
        <w:t xml:space="preserve"> row nearby.</w:t>
      </w:r>
    </w:p>
    <w:p w:rsidR="00EB27EC" w:rsidRPr="00153DA4" w:rsidRDefault="00B8600B" w:rsidP="0091302D">
      <w:r>
        <w:t>The 22 trees selecte</w:t>
      </w:r>
      <w:r w:rsidR="00F23E43">
        <w:t>d represent this variability. 17</w:t>
      </w:r>
      <w:r>
        <w:t xml:space="preserve"> of them follow the distribution </w:t>
      </w:r>
      <w:r w:rsidR="00F23E43">
        <w:t xml:space="preserve">of the </w:t>
      </w:r>
      <w:proofErr w:type="spellStart"/>
      <w:r w:rsidR="00F23E43">
        <w:t>throughfall</w:t>
      </w:r>
      <w:proofErr w:type="spellEnd"/>
      <w:r w:rsidR="00F23E43">
        <w:t xml:space="preserve"> collectors. 5</w:t>
      </w:r>
      <w:r>
        <w:t xml:space="preserve"> extra collectors were deployed to better represent trees facing the thinning lines. </w:t>
      </w:r>
      <w:r w:rsidR="00F23E43">
        <w:t xml:space="preserve">The calculation of the volume collected is similar to what is done for the </w:t>
      </w:r>
      <w:proofErr w:type="spellStart"/>
      <w:r w:rsidR="00F23E43">
        <w:t>throughfall</w:t>
      </w:r>
      <w:proofErr w:type="spellEnd"/>
      <w:r w:rsidR="00F23E43">
        <w:t>. The depth of the water in the barrel is transformed in a volume, then the mean volume of the samplers of each of the 8 classes is calculated, and the mean value of the 8 classes is scaled to the hectare by multiplying it for the number of the trees (1750/ha).</w:t>
      </w:r>
    </w:p>
    <w:p w:rsidR="002511A7" w:rsidRPr="00427FB4" w:rsidRDefault="002511A7" w:rsidP="0091302D">
      <w:r w:rsidRPr="002511A7">
        <w:rPr>
          <w:color w:val="1F4E79" w:themeColor="accent1" w:themeShade="80"/>
        </w:rPr>
        <w:t xml:space="preserve">Streamflow </w:t>
      </w:r>
      <w:r w:rsidR="00E361C9">
        <w:rPr>
          <w:color w:val="1F4E79" w:themeColor="accent1" w:themeShade="80"/>
        </w:rPr>
        <w:t>samples</w:t>
      </w:r>
      <w:r w:rsidRPr="002511A7">
        <w:rPr>
          <w:color w:val="1F4E79" w:themeColor="accent1" w:themeShade="80"/>
        </w:rPr>
        <w:t>.</w:t>
      </w:r>
      <w:r>
        <w:t xml:space="preserve"> </w:t>
      </w:r>
      <w:r w:rsidR="00AA0B14">
        <w:t>4 triangular-notch thin-</w:t>
      </w:r>
      <w:r>
        <w:t>plate weir</w:t>
      </w:r>
      <w:r w:rsidR="00AA0B14">
        <w:t xml:space="preserve">s </w:t>
      </w:r>
      <w:r w:rsidR="00AA0B14">
        <w:fldChar w:fldCharType="begin"/>
      </w:r>
      <w:r w:rsidR="00AA0B14">
        <w:instrText xml:space="preserve"> ADDIN EN.CITE &lt;EndNote&gt;&lt;Cite&gt;&lt;Author&gt;British Standard&lt;/Author&gt;&lt;Year&gt;1981&lt;/Year&gt;&lt;RecNum&gt;67&lt;/RecNum&gt;&lt;DisplayText&gt;(British Standard 1981)&lt;/DisplayText&gt;&lt;record&gt;&lt;rec-number&gt;67&lt;/rec-number&gt;&lt;foreign-keys&gt;&lt;key app="EN" db-id="arwpz50tppf20qes0adx5aztet0w9xtartsd" timestamp="1507824784"&gt;67&lt;/key&gt;&lt;/foreign-keys&gt;&lt;ref-type name="Standard"&gt;58&lt;/ref-type&gt;&lt;contributors&gt;&lt;authors&gt;&lt;author&gt;British Standard,&lt;/author&gt;&lt;/authors&gt;&lt;/contributors&gt;&lt;titles&gt;&lt;title&gt;Methods of measurement of liquid flow in open channels. &lt;/title&gt;&lt;secondary-title&gt;Method using thin-plate weirs &lt;/secondary-title&gt;&lt;/titles&gt;&lt;pages&gt;39&lt;/pages&gt;&lt;dates&gt;&lt;year&gt;1981&lt;/year&gt;&lt;/dates&gt;&lt;isbn&gt;BS 3680-4A: 1981&lt;/isbn&gt;&lt;urls&gt;&lt;/urls&gt;&lt;/record&gt;&lt;/Cite&gt;&lt;/EndNote&gt;</w:instrText>
      </w:r>
      <w:r w:rsidR="00AA0B14">
        <w:fldChar w:fldCharType="separate"/>
      </w:r>
      <w:r w:rsidR="00AA0B14">
        <w:rPr>
          <w:noProof/>
        </w:rPr>
        <w:t>(British Standard 1981)</w:t>
      </w:r>
      <w:r w:rsidR="00AA0B14">
        <w:fldChar w:fldCharType="end"/>
      </w:r>
      <w:r>
        <w:t xml:space="preserve"> </w:t>
      </w:r>
      <w:r w:rsidR="00AA0B14">
        <w:t xml:space="preserve">were installed in Griffin, two in each plot. In the T plot one of them is up the plot and the second one collects the water outflow from the plot. This allows to calculate a net balance of the N leached by the plot. Although the measurement of the water flow was initially thought as continuous by installing a </w:t>
      </w:r>
      <w:r w:rsidR="00AA0B14">
        <w:lastRenderedPageBreak/>
        <w:t>**</w:t>
      </w:r>
      <w:proofErr w:type="gramStart"/>
      <w:r w:rsidR="00AA0B14">
        <w:t>*(</w:t>
      </w:r>
      <w:proofErr w:type="gramEnd"/>
      <w:r w:rsidR="00AA0B14">
        <w:t>check Rob maybe? Or Thesis), eventually the available data, instant discharge and N concentration, come from the monthly collection. This shows obviously a limitation to properly build up a hydrological balance but allows at least to have an information of the N leaching from the plots in different times of the year.</w:t>
      </w:r>
    </w:p>
    <w:p w:rsidR="00E361C9" w:rsidRDefault="00E361C9" w:rsidP="0091302D">
      <w:pPr>
        <w:rPr>
          <w:color w:val="1F4E79" w:themeColor="accent1" w:themeShade="80"/>
        </w:rPr>
      </w:pPr>
      <w:r w:rsidRPr="00E361C9">
        <w:rPr>
          <w:color w:val="1F4E79" w:themeColor="accent1" w:themeShade="80"/>
        </w:rPr>
        <w:t>Water sample processing after collection</w:t>
      </w:r>
    </w:p>
    <w:p w:rsidR="00E361C9" w:rsidRPr="00E361C9" w:rsidRDefault="00E361C9" w:rsidP="0091302D">
      <w:r>
        <w:t xml:space="preserve">Samples were stored at 4 °C in the labs until the filtration, usually not more than 24 hours after the collection. </w:t>
      </w:r>
      <w:r w:rsidR="00C930D2">
        <w:t xml:space="preserve">Per each sample bottle (250 ml, 1 l for the </w:t>
      </w:r>
      <w:proofErr w:type="spellStart"/>
      <w:r w:rsidR="00C930D2">
        <w:t>streamwater</w:t>
      </w:r>
      <w:proofErr w:type="spellEnd"/>
      <w:r w:rsidR="00C930D2">
        <w:t xml:space="preserve">) for </w:t>
      </w:r>
      <w:r>
        <w:t xml:space="preserve">30 ml </w:t>
      </w:r>
      <w:r w:rsidR="00C930D2">
        <w:t>of each sample were</w:t>
      </w:r>
      <w:r>
        <w:t xml:space="preserve"> </w:t>
      </w:r>
      <w:r w:rsidR="009F29B6">
        <w:t>withdrawn</w:t>
      </w:r>
      <w:r>
        <w:t xml:space="preserve"> from each Nalgene bottle with a 60ml syringe </w:t>
      </w:r>
      <w:r w:rsidR="009F29B6">
        <w:t xml:space="preserve">after rinsing it </w:t>
      </w:r>
      <w:r>
        <w:t>3 times with</w:t>
      </w:r>
      <w:r w:rsidR="009A516F">
        <w:t xml:space="preserve"> </w:t>
      </w:r>
      <w:r w:rsidR="00E95C7E">
        <w:t>the same amount of sample. * Sam</w:t>
      </w:r>
      <w:r w:rsidR="009F29B6">
        <w:t xml:space="preserve">ple filtered through </w:t>
      </w:r>
      <w:proofErr w:type="spellStart"/>
      <w:r w:rsidR="009F29B6">
        <w:t>nome</w:t>
      </w:r>
      <w:proofErr w:type="spellEnd"/>
      <w:r w:rsidR="009F29B6">
        <w:t xml:space="preserve"> </w:t>
      </w:r>
      <w:proofErr w:type="spellStart"/>
      <w:r w:rsidR="009F29B6">
        <w:t>prodotto</w:t>
      </w:r>
      <w:proofErr w:type="spellEnd"/>
      <w:r w:rsidR="009F29B6">
        <w:t xml:space="preserve"> e </w:t>
      </w:r>
      <w:proofErr w:type="spellStart"/>
      <w:r w:rsidR="009F29B6">
        <w:t>messo</w:t>
      </w:r>
      <w:proofErr w:type="spellEnd"/>
      <w:r w:rsidR="009F29B6">
        <w:t xml:space="preserve"> in 25ml </w:t>
      </w:r>
      <w:proofErr w:type="spellStart"/>
      <w:r w:rsidR="009F29B6">
        <w:t>sbroz</w:t>
      </w:r>
      <w:proofErr w:type="spellEnd"/>
      <w:r w:rsidR="009F29B6">
        <w:t>, stored at 4 °C until it gets analysed. Colorimetric analysis for NH</w:t>
      </w:r>
      <w:r w:rsidR="009F29B6" w:rsidRPr="009F29B6">
        <w:rPr>
          <w:vertAlign w:val="subscript"/>
        </w:rPr>
        <w:t>4</w:t>
      </w:r>
      <w:r w:rsidR="009F29B6">
        <w:t xml:space="preserve"> and NO</w:t>
      </w:r>
      <w:r w:rsidR="009F29B6" w:rsidRPr="009F29B6">
        <w:rPr>
          <w:vertAlign w:val="subscript"/>
        </w:rPr>
        <w:t>3</w:t>
      </w:r>
      <w:r w:rsidR="009F29B6">
        <w:t xml:space="preserve"> concentrations characteristics. </w:t>
      </w:r>
      <w:r w:rsidR="001B0A09">
        <w:t>Colorimetric analysis***</w:t>
      </w:r>
    </w:p>
    <w:p w:rsidR="00AF4434" w:rsidRDefault="00AF4434" w:rsidP="00C07817">
      <w:pPr>
        <w:pStyle w:val="Heading3"/>
      </w:pPr>
      <w:r>
        <w:t>Experiment “15N-labelled simulated Ndep”</w:t>
      </w:r>
    </w:p>
    <w:p w:rsidR="00C07817" w:rsidRDefault="006353F5" w:rsidP="00C07817">
      <w:r>
        <w:t>The idea at the base of this experiment was strengthening the outcomes from the 5 years data collection by simulating N</w:t>
      </w:r>
      <w:r w:rsidRPr="006353F5">
        <w:rPr>
          <w:vertAlign w:val="subscript"/>
        </w:rPr>
        <w:t>dep</w:t>
      </w:r>
      <w:r>
        <w:t xml:space="preserve"> by using </w:t>
      </w:r>
      <w:r w:rsidRPr="006353F5">
        <w:rPr>
          <w:vertAlign w:val="superscript"/>
        </w:rPr>
        <w:t>15</w:t>
      </w:r>
      <w:r>
        <w:t xml:space="preserve">N as a label and calculating the total recovery of the applied 15N in </w:t>
      </w:r>
      <w:proofErr w:type="spellStart"/>
      <w:r>
        <w:t>throughfall</w:t>
      </w:r>
      <w:proofErr w:type="spellEnd"/>
      <w:r>
        <w:t xml:space="preserve"> and </w:t>
      </w:r>
      <w:proofErr w:type="spellStart"/>
      <w:r>
        <w:t>stemflow</w:t>
      </w:r>
      <w:proofErr w:type="spellEnd"/>
      <w:r>
        <w:t xml:space="preserve">. </w:t>
      </w:r>
      <w:r w:rsidR="001546DB">
        <w:t>Three</w:t>
      </w:r>
      <w:r w:rsidR="00C07817">
        <w:t xml:space="preserve"> Sitka spruce trees </w:t>
      </w:r>
      <w:r w:rsidR="001546DB">
        <w:t xml:space="preserve">have been selected around the existing eddy covariance tower in the T plot so the be easily reachable with an extension lance (maximum length = 5.4 m) and were sprayed </w:t>
      </w:r>
      <w:r>
        <w:t xml:space="preserve">in two occasions (**dates) </w:t>
      </w:r>
      <w:r w:rsidR="001546DB">
        <w:t>with a 15N-labelled enriched NH</w:t>
      </w:r>
      <w:r w:rsidR="001546DB" w:rsidRPr="001546DB">
        <w:rPr>
          <w:vertAlign w:val="subscript"/>
        </w:rPr>
        <w:t>4</w:t>
      </w:r>
      <w:r w:rsidR="001546DB">
        <w:t>NO</w:t>
      </w:r>
      <w:r w:rsidR="001546DB" w:rsidRPr="001546DB">
        <w:rPr>
          <w:vertAlign w:val="subscript"/>
        </w:rPr>
        <w:t>3</w:t>
      </w:r>
      <w:r w:rsidR="001546DB">
        <w:t xml:space="preserve"> solution (</w:t>
      </w:r>
      <w:r w:rsidR="001546DB">
        <w:rPr>
          <w:rFonts w:cstheme="minorHAnsi"/>
        </w:rPr>
        <w:t>δ</w:t>
      </w:r>
      <w:r w:rsidR="001546DB" w:rsidRPr="001546DB">
        <w:rPr>
          <w:vertAlign w:val="superscript"/>
        </w:rPr>
        <w:t>15</w:t>
      </w:r>
      <w:r w:rsidR="001546DB">
        <w:t>N = +1000) by applying it over the</w:t>
      </w:r>
      <w:r w:rsidR="00E5078B">
        <w:t xml:space="preserve"> tree crown. Under each spruce o</w:t>
      </w:r>
      <w:r w:rsidR="001546DB">
        <w:t xml:space="preserve">ne </w:t>
      </w:r>
      <w:proofErr w:type="spellStart"/>
      <w:r w:rsidR="001546DB">
        <w:t>stemflow</w:t>
      </w:r>
      <w:proofErr w:type="spellEnd"/>
      <w:r w:rsidR="001546DB">
        <w:t xml:space="preserve"> and four </w:t>
      </w:r>
      <w:proofErr w:type="spellStart"/>
      <w:r w:rsidR="001546DB">
        <w:t>throughfall</w:t>
      </w:r>
      <w:proofErr w:type="spellEnd"/>
      <w:r w:rsidR="001546DB">
        <w:t xml:space="preserve"> collectors were placed so to cover approximately 1/5 of the crown projection. </w:t>
      </w:r>
      <w:r w:rsidR="00AA64A0">
        <w:t xml:space="preserve">Similarly to the existing experiment, the depth of the water in each barrel was measured and a sample of at least 5 </w:t>
      </w:r>
      <w:proofErr w:type="spellStart"/>
      <w:r w:rsidR="00AA64A0">
        <w:t>liters</w:t>
      </w:r>
      <w:proofErr w:type="spellEnd"/>
      <w:r w:rsidR="00AA64A0">
        <w:t xml:space="preserve"> (when available) of </w:t>
      </w:r>
      <w:proofErr w:type="spellStart"/>
      <w:r w:rsidR="00AA64A0">
        <w:t>throughfall</w:t>
      </w:r>
      <w:proofErr w:type="spellEnd"/>
      <w:r w:rsidR="00AA64A0">
        <w:t xml:space="preserve"> and </w:t>
      </w:r>
      <w:proofErr w:type="spellStart"/>
      <w:r w:rsidR="00AA64A0">
        <w:t>stemflow</w:t>
      </w:r>
      <w:proofErr w:type="spellEnd"/>
      <w:r w:rsidR="00AA64A0">
        <w:t xml:space="preserve"> were withdrawn. When the volume of the sample exceeded the volume of the sampling </w:t>
      </w:r>
    </w:p>
    <w:p w:rsidR="001B0A09" w:rsidRPr="00C07817" w:rsidRDefault="001B0A09" w:rsidP="00C07817"/>
    <w:p w:rsidR="00AF4434" w:rsidRDefault="00AF4434" w:rsidP="00AF4434">
      <w:pPr>
        <w:pStyle w:val="Heading3"/>
      </w:pPr>
      <w:r>
        <w:t>Experiment “15N-labelled application on branches”</w:t>
      </w:r>
    </w:p>
    <w:p w:rsidR="00C07817" w:rsidRDefault="001B0A09" w:rsidP="00C07817">
      <w:r>
        <w:t xml:space="preserve">Ammonia diffusion </w:t>
      </w:r>
      <w:r>
        <w:fldChar w:fldCharType="begin"/>
      </w:r>
      <w:r>
        <w:instrText xml:space="preserve"> ADDIN EN.CITE &lt;EndNote&gt;&lt;Cite&gt;&lt;Author&gt;Sebilo&lt;/Author&gt;&lt;Year&gt;2004&lt;/Year&gt;&lt;RecNum&gt;59&lt;/RecNum&gt;&lt;DisplayText&gt;(Sebilo, Mayer et al. 2004)&lt;/DisplayText&gt;&lt;record&gt;&lt;rec-number&gt;59&lt;/rec-number&gt;&lt;foreign-keys&gt;&lt;key app="EN" db-id="arwpz50tppf20qes0adx5aztet0w9xtartsd" timestamp="1491421501"&gt;59&lt;/key&gt;&lt;/foreign-keys&gt;&lt;ref-type name="Journal Article"&gt;17&lt;/ref-type&gt;&lt;contributors&gt;&lt;authors&gt;&lt;author&gt;Sebilo, M.&lt;/author&gt;&lt;author&gt;Mayer, B.&lt;/author&gt;&lt;author&gt;Grably, M.&lt;/author&gt;&lt;author&gt;Billiou, D.&lt;/author&gt;&lt;author&gt;Mariotti, A.&lt;/author&gt;&lt;/authors&gt;&lt;/contributors&gt;&lt;auth-address&gt;Univ Paris 06, CNRS, UMR BIOMCO, INRA, F-75252 Paris 05, France&amp;#xD;Univ Calgary, Dept Geol &amp;amp; Geophys, Calgary, AB T2N 1N4, Canada&lt;/auth-address&gt;&lt;titles&gt;&lt;title&gt;The Use of the &amp;apos;Ammonium Diffusion&amp;apos; Method for delta(15)N-NH(4)(+) and delta(15)N-NO(3)(-) Measurements: Comparison with Other Techniques&lt;/title&gt;&lt;secondary-title&gt;Environmental Chemistry&lt;/secondary-title&gt;&lt;alt-title&gt;Environ Chem&lt;/alt-title&gt;&lt;/titles&gt;&lt;periodical&gt;&lt;full-title&gt;Environmental Chemistry&lt;/full-title&gt;&lt;abbr-1&gt;Environ Chem&lt;/abbr-1&gt;&lt;/periodical&gt;&lt;alt-periodical&gt;&lt;full-title&gt;Environmental Chemistry&lt;/full-title&gt;&lt;abbr-1&gt;Environ Chem&lt;/abbr-1&gt;&lt;/alt-periodical&gt;&lt;pages&gt;99-103&lt;/pages&gt;&lt;volume&gt;1&lt;/volume&gt;&lt;number&gt;2&lt;/number&gt;&lt;keywords&gt;&lt;keyword&gt;analysis&lt;/keyword&gt;&lt;keyword&gt;nitrogen&lt;/keyword&gt;&lt;keyword&gt;ms&lt;/keyword&gt;&lt;keyword&gt;speciation&lt;/keyword&gt;&lt;/keywords&gt;&lt;dates&gt;&lt;year&gt;2004&lt;/year&gt;&lt;/dates&gt;&lt;isbn&gt;1448-2517&lt;/isbn&gt;&lt;accession-num&gt;WOS:000207050500007&lt;/accession-num&gt;&lt;urls&gt;&lt;related-urls&gt;&lt;url&gt;&amp;lt;Go to ISI&amp;gt;://WOS:000207050500007&lt;/url&gt;&lt;/related-urls&gt;&lt;/urls&gt;&lt;electronic-resource-num&gt;10.1071/EN04037&lt;/electronic-resource-num&gt;&lt;language&gt;English&lt;/language&gt;&lt;/record&gt;&lt;/Cite&gt;&lt;/EndNote&gt;</w:instrText>
      </w:r>
      <w:r>
        <w:fldChar w:fldCharType="separate"/>
      </w:r>
      <w:r>
        <w:rPr>
          <w:noProof/>
        </w:rPr>
        <w:t>(Sebilo, Mayer et al. 2004)</w:t>
      </w:r>
      <w:r>
        <w:fldChar w:fldCharType="end"/>
      </w:r>
    </w:p>
    <w:p w:rsidR="001B0A09" w:rsidRPr="00C07817" w:rsidRDefault="001B0A09" w:rsidP="00C07817"/>
    <w:p w:rsidR="004F1423" w:rsidRPr="00AF4434" w:rsidRDefault="004F1423" w:rsidP="00AF4434">
      <w:r>
        <w:t xml:space="preserve">15N – labelled </w:t>
      </w:r>
    </w:p>
    <w:p w:rsidR="00E36A80" w:rsidRDefault="00E36A80" w:rsidP="00A62E84">
      <w:r w:rsidRPr="00DC2BA2">
        <w:rPr>
          <w:lang w:val="it-IT"/>
        </w:rPr>
        <w:t xml:space="preserve">Open questions: ma la rationale, Magnani e pippe varie, da dove era partito il progetto, vanno qui? </w:t>
      </w:r>
      <w:r>
        <w:t xml:space="preserve">Secondo me, </w:t>
      </w:r>
      <w:proofErr w:type="spellStart"/>
      <w:r>
        <w:t>si</w:t>
      </w:r>
      <w:proofErr w:type="spellEnd"/>
      <w:r>
        <w:t>. In that case, see the PhD offer document.</w:t>
      </w:r>
    </w:p>
    <w:p w:rsidR="00923AE9" w:rsidRDefault="00923AE9" w:rsidP="00923AE9">
      <w:r>
        <w:t xml:space="preserve">Brief description of some of the previous experiments. </w:t>
      </w:r>
    </w:p>
    <w:p w:rsidR="001B0A09" w:rsidRDefault="001B0A09" w:rsidP="00A62E84">
      <w:r>
        <w:t>Sample preparation (check Richard), drying and milling (</w:t>
      </w:r>
      <w:proofErr w:type="spellStart"/>
      <w:proofErr w:type="gramStart"/>
      <w:r>
        <w:t>usa</w:t>
      </w:r>
      <w:proofErr w:type="spellEnd"/>
      <w:proofErr w:type="gramEnd"/>
      <w:r>
        <w:t xml:space="preserve"> la </w:t>
      </w:r>
      <w:proofErr w:type="spellStart"/>
      <w:r>
        <w:t>roba</w:t>
      </w:r>
      <w:proofErr w:type="spellEnd"/>
      <w:r>
        <w:t xml:space="preserve"> del Corso! Yeah!)</w:t>
      </w:r>
    </w:p>
    <w:p w:rsidR="00FE0408" w:rsidRDefault="001D6D4D" w:rsidP="00A62E84">
      <w:r>
        <w:t>Notes for later:</w:t>
      </w:r>
    </w:p>
    <w:p w:rsidR="002C4EB5" w:rsidRDefault="002C4EB5" w:rsidP="00A62E84">
      <w:r>
        <w:t>Mitchell work with 87-93 of CNU!</w:t>
      </w:r>
    </w:p>
    <w:p w:rsidR="00DD448C" w:rsidRDefault="00EC1CFC" w:rsidP="00A62E84">
      <w:r>
        <w:t>Results</w:t>
      </w:r>
      <w:r w:rsidR="008B31AF">
        <w:t xml:space="preserve"> for the 5 years dataset: </w:t>
      </w:r>
      <w:proofErr w:type="spellStart"/>
      <w:r w:rsidR="008B31AF">
        <w:t>Descrizione</w:t>
      </w:r>
      <w:proofErr w:type="spellEnd"/>
      <w:r w:rsidR="008B31AF">
        <w:t xml:space="preserve"> del database </w:t>
      </w:r>
      <w:proofErr w:type="spellStart"/>
      <w:r w:rsidR="008B31AF">
        <w:t>ottenuto</w:t>
      </w:r>
      <w:proofErr w:type="spellEnd"/>
      <w:r w:rsidR="008B31AF">
        <w:t xml:space="preserve"> -&gt; fieldwork and lab methodology, data quality (NAs), data treatment, outliers, regression and interpolation.</w:t>
      </w:r>
    </w:p>
    <w:p w:rsidR="001B0A09" w:rsidRDefault="001B0A09">
      <w:pPr>
        <w:rPr>
          <w:rStyle w:val="SubtleReference"/>
        </w:rPr>
      </w:pPr>
      <w:r>
        <w:rPr>
          <w:rStyle w:val="SubtleReference"/>
        </w:rPr>
        <w:br w:type="page"/>
      </w:r>
    </w:p>
    <w:p w:rsidR="00DD448C" w:rsidRPr="00DD448C" w:rsidRDefault="00DD448C" w:rsidP="00A62E84">
      <w:pPr>
        <w:rPr>
          <w:rStyle w:val="SubtleReference"/>
        </w:rPr>
      </w:pPr>
      <w:r w:rsidRPr="00DD448C">
        <w:rPr>
          <w:rStyle w:val="SubtleReference"/>
        </w:rPr>
        <w:lastRenderedPageBreak/>
        <w:t>References</w:t>
      </w:r>
    </w:p>
    <w:p w:rsidR="001B0A09" w:rsidRPr="001B0A09" w:rsidRDefault="00DD448C" w:rsidP="001B0A09">
      <w:pPr>
        <w:pStyle w:val="EndNoteBibliography"/>
      </w:pPr>
      <w:r>
        <w:fldChar w:fldCharType="begin"/>
      </w:r>
      <w:r>
        <w:instrText xml:space="preserve"> ADDIN EN.REFLIST </w:instrText>
      </w:r>
      <w:r>
        <w:fldChar w:fldCharType="separate"/>
      </w:r>
      <w:r w:rsidR="001B0A09" w:rsidRPr="001B0A09">
        <w:t xml:space="preserve">British Standard (1981). Methods of measurement of liquid flow in open channels. . </w:t>
      </w:r>
      <w:r w:rsidR="001B0A09" w:rsidRPr="001B0A09">
        <w:rPr>
          <w:u w:val="single"/>
        </w:rPr>
        <w:t xml:space="preserve">Method using thin-plate weirs </w:t>
      </w:r>
      <w:r w:rsidR="001B0A09" w:rsidRPr="001B0A09">
        <w:t>39.</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Clement, R. J., et al. (2012). "Carbon dioxide exchange of a Sitka spruce plantation in Scotland over five years." </w:t>
      </w:r>
      <w:r w:rsidRPr="001B0A09">
        <w:rPr>
          <w:u w:val="single"/>
        </w:rPr>
        <w:t>Agricultural and Forest Meteorology</w:t>
      </w:r>
      <w:r w:rsidRPr="001B0A09">
        <w:t xml:space="preserve"> </w:t>
      </w:r>
      <w:r w:rsidRPr="001B0A09">
        <w:rPr>
          <w:b/>
        </w:rPr>
        <w:t>153</w:t>
      </w:r>
      <w:r w:rsidRPr="001B0A09">
        <w:t>: 106-123.</w:t>
      </w:r>
    </w:p>
    <w:p w:rsidR="001B0A09" w:rsidRPr="001B0A09" w:rsidRDefault="001B0A09" w:rsidP="001B0A09">
      <w:pPr>
        <w:pStyle w:val="EndNoteBibliography"/>
        <w:ind w:left="720" w:hanging="720"/>
      </w:pPr>
      <w:r w:rsidRPr="001B0A09">
        <w:tab/>
        <w:t>Scotland's 17% forested land cover sequesters 10% of Scotland's emissions of greenhouse gases. The expected rise of forested land cover to 25% by the middle of this century make forests an important component of the national carbon budget. This paper presents the carbon exchange measurement methodology, results, and modeling associated with a five-year experiment at a plantation forest in Scotland, UK, as part of a European initiative to develop and verify vegetation carbon-exchange models. We have developed a site specific correction for advective flux loses. While based on ustar corrections, it differs from current approaches in that it includes site topographic effects, corrects existing data instead of replacing it, and applies over the entire diel cycle instead of only during nocturnal periods. Models of soil respiration are compared and reveal the inadequacy of soil state parameterization. A non-rectangular hyperbola model of assimilation is selected to examine the maximum assimilation rate and quantum use efficiency parameters' responses to environmental temperature, vapour pressure, and sky condition. Intra-annual variability is found to be highest in early autumn, linked to a combination of seasonal changes in radiation and phenological changes in canopy quantum yield. Inter-annual variability was low, with less than %5 variation from year to year, and factors driving this variability were not clearly apparent. Over the 5 years of reported measurements, this forest sequestered about 6 tonnes of C per hectare per annum. Photosynthetically active radiation use efficiency of the forest is about 4.2%. Constancy of radiation use efficiency was observed at both diel and annual scales. This constancy depended on the ecosystem's thermal inertia and assimilation/radiation response curve characteristics at diel time scales but depended on thermal inertia and phenological changes in quantum yield at annual time scales. The net carbon uptake rates are consistent with two other flux sites in the British Isles and suggest that the relatively maritime climatology of these areas is highly suitable for the species of trees routinely planted here. (C) 2011 Elsevier B.V. All rights reserved.</w:t>
      </w:r>
    </w:p>
    <w:p w:rsidR="001B0A09" w:rsidRPr="001B0A09" w:rsidRDefault="001B0A09" w:rsidP="001B0A09">
      <w:pPr>
        <w:pStyle w:val="EndNoteBibliography"/>
        <w:spacing w:after="0"/>
      </w:pPr>
    </w:p>
    <w:p w:rsidR="001B0A09" w:rsidRPr="001B0A09" w:rsidRDefault="001B0A09" w:rsidP="001B0A09">
      <w:pPr>
        <w:pStyle w:val="EndNoteBibliography"/>
      </w:pPr>
      <w:r w:rsidRPr="001B0A09">
        <w:t xml:space="preserve">Craig, G. Y. (1925). </w:t>
      </w:r>
      <w:r w:rsidRPr="001B0A09">
        <w:rPr>
          <w:u w:val="single"/>
        </w:rPr>
        <w:t>Geology of Scotland</w:t>
      </w:r>
      <w:r w:rsidRPr="001B0A09">
        <w:t>, Edinburgh: Scottish Academics.</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Forestry Commission (2011) National Forest Inventory Woodland Area Statistics: Scotland 17 </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Forestry Commission (2017, 28th September 2017). "Forestry statistics and Forestry in facts and figures." Retrieved 6 October, 2017, from </w:t>
      </w:r>
      <w:hyperlink r:id="rId10" w:history="1">
        <w:r w:rsidRPr="001B0A09">
          <w:rPr>
            <w:rStyle w:val="Hyperlink"/>
          </w:rPr>
          <w:t>https://www.forestry.gov.uk/forestry/infd-7aqdgc</w:t>
        </w:r>
      </w:hyperlink>
      <w:r w:rsidRPr="001B0A09">
        <w:t>.</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Heal, K. V., et al. (2004). "New data for water losses from mature Sitka spruce plantations in temperate upland catchments." </w:t>
      </w:r>
      <w:r w:rsidRPr="001B0A09">
        <w:rPr>
          <w:u w:val="single"/>
        </w:rPr>
        <w:t>Hydrological Sciences Journal-Journal Des Sciences Hydrologiques</w:t>
      </w:r>
      <w:r w:rsidRPr="001B0A09">
        <w:t xml:space="preserve"> </w:t>
      </w:r>
      <w:r w:rsidRPr="001B0A09">
        <w:rPr>
          <w:b/>
        </w:rPr>
        <w:t>49</w:t>
      </w:r>
      <w:r w:rsidRPr="001B0A09">
        <w:t>(3): 477-493.</w:t>
      </w:r>
    </w:p>
    <w:p w:rsidR="001B0A09" w:rsidRPr="001B0A09" w:rsidRDefault="001B0A09" w:rsidP="001B0A09">
      <w:pPr>
        <w:pStyle w:val="EndNoteBibliography"/>
        <w:ind w:left="720" w:hanging="720"/>
      </w:pPr>
      <w:r w:rsidRPr="001B0A09">
        <w:tab/>
        <w:t xml:space="preserve">Accurate estimates of water losses from mature Sitka spruce (Picea sitchensis) plantations in the UK uplands are required to assess the sustainability of water supply in the event of land-use change. Many investigations have demonstrated that afforestation increases water losses from temperate upland catchments, to up to 40% of annual site rainfall. In a 0.86 km(2) upland water supply catchment in southwest Scotland, interception loss in a Sitka </w:t>
      </w:r>
      <w:r w:rsidRPr="001B0A09">
        <w:lastRenderedPageBreak/>
        <w:t>spruce-dominated 37-year old plantation, was 52% of annual precipitation (2912 mm), considerably higher than reported in previous studies of similar catchments. From direct measurements of rainfall, cloudwater, discharge and soil evaporation, the catchment water balance was 96-117% complete, within the limits of measurement error. The most probable explanation for the higher forest interception loss reported here is the inclusion of cloudwater measurements.</w:t>
      </w:r>
    </w:p>
    <w:p w:rsidR="001B0A09" w:rsidRPr="001B0A09" w:rsidRDefault="001B0A09" w:rsidP="001B0A09">
      <w:pPr>
        <w:pStyle w:val="EndNoteBibliography"/>
        <w:spacing w:after="0"/>
      </w:pPr>
    </w:p>
    <w:p w:rsidR="001B0A09" w:rsidRPr="001B0A09" w:rsidRDefault="001B0A09" w:rsidP="001B0A09">
      <w:pPr>
        <w:pStyle w:val="EndNoteBibliography"/>
      </w:pPr>
      <w:r w:rsidRPr="001B0A09">
        <w:t xml:space="preserve">Oosthoek, K. J. (2013). </w:t>
      </w:r>
      <w:r w:rsidRPr="001B0A09">
        <w:rPr>
          <w:u w:val="single"/>
        </w:rPr>
        <w:t>Conquering the Highlands : a history of the afforestation of the Scottish uplands</w:t>
      </w:r>
      <w:r w:rsidRPr="001B0A09">
        <w:t>, Australian National University E Press.</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Sebilo, M., et al. (2004). "The Use of the 'Ammonium Diffusion' Method for delta(15)N-NH(4)(+) and delta(15)N-NO(3)(-) Measurements: Comparison with Other Techniques." </w:t>
      </w:r>
      <w:r w:rsidRPr="001B0A09">
        <w:rPr>
          <w:u w:val="single"/>
        </w:rPr>
        <w:t>Environmental Chemistry</w:t>
      </w:r>
      <w:r w:rsidRPr="001B0A09">
        <w:t xml:space="preserve"> </w:t>
      </w:r>
      <w:r w:rsidRPr="001B0A09">
        <w:rPr>
          <w:b/>
        </w:rPr>
        <w:t>1</w:t>
      </w:r>
      <w:r w:rsidRPr="001B0A09">
        <w:t>(2): 99-103.</w:t>
      </w:r>
    </w:p>
    <w:p w:rsidR="001B0A09" w:rsidRPr="001B0A09" w:rsidRDefault="001B0A09" w:rsidP="001B0A09">
      <w:pPr>
        <w:pStyle w:val="EndNoteBibliography"/>
        <w:ind w:left="720" w:hanging="720"/>
      </w:pPr>
      <w:r w:rsidRPr="001B0A09">
        <w:tab/>
        <w:t>Several methods have been developed for nitrogen isotope measurements on ammonium (NH(4)(+)) and nitrate (NO(3)(-)) in solid or aqueous samples. We have tested the accuracy and reproducibility of the ammonium diffusion method for delta(15)N measurements on NH(4)(+) and NO(3)(-) and compared this technique to other established methods. Our results show that the ammonium diffusion technique is capable of generating accurate and reproducible delta(15)N values for minute quantities of NH(4)(+)-N and NO(3)(-)-N in aqueous samples, if sufficient care is taken to minimize nitrogen blanks and to optimize the extraction procedure. Hence, the ammonium diffusion method offers an attractive alternative to more labour-intensive and costly methods for determining nitrogen isotope ratios of NH(4)(+) and NO(3)(-) in aqueous samples.</w:t>
      </w:r>
    </w:p>
    <w:p w:rsidR="001B0A09" w:rsidRPr="001B0A09" w:rsidRDefault="001B0A09" w:rsidP="001B0A09">
      <w:pPr>
        <w:pStyle w:val="EndNoteBibliography"/>
        <w:spacing w:after="0"/>
      </w:pPr>
    </w:p>
    <w:p w:rsidR="001B0A09" w:rsidRPr="001B0A09" w:rsidRDefault="001B0A09" w:rsidP="001B0A09">
      <w:pPr>
        <w:pStyle w:val="EndNoteBibliography"/>
      </w:pPr>
      <w:r w:rsidRPr="001B0A09">
        <w:t xml:space="preserve">Smout, T. C., Ed. (1997). </w:t>
      </w:r>
      <w:r w:rsidRPr="001B0A09">
        <w:rPr>
          <w:u w:val="single"/>
        </w:rPr>
        <w:t>Scottish Woodland History</w:t>
      </w:r>
      <w:r w:rsidRPr="001B0A09">
        <w:t>, Scottish Cultural Press - Edinburgh.</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Tompkins, S. (1989). </w:t>
      </w:r>
      <w:r w:rsidRPr="001B0A09">
        <w:rPr>
          <w:u w:val="single"/>
        </w:rPr>
        <w:t>Forestry in crisis: the battle for the hills</w:t>
      </w:r>
      <w:r w:rsidRPr="001B0A09">
        <w:t>, Christopher Helm.</w:t>
      </w:r>
    </w:p>
    <w:p w:rsidR="001B0A09" w:rsidRPr="001B0A09" w:rsidRDefault="001B0A09" w:rsidP="001B0A09">
      <w:pPr>
        <w:pStyle w:val="EndNoteBibliography"/>
        <w:ind w:left="720" w:hanging="720"/>
      </w:pPr>
      <w:r w:rsidRPr="001B0A09">
        <w:tab/>
      </w: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41FFF"/>
    <w:multiLevelType w:val="multilevel"/>
    <w:tmpl w:val="22C2BAD4"/>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7&lt;/item&gt;&lt;item&gt;59&lt;/item&gt;&lt;item&gt;60&lt;/item&gt;&lt;item&gt;61&lt;/item&gt;&lt;item&gt;62&lt;/item&gt;&lt;item&gt;63&lt;/item&gt;&lt;item&gt;64&lt;/item&gt;&lt;item&gt;65&lt;/item&gt;&lt;item&gt;66&lt;/item&gt;&lt;item&gt;67&lt;/item&gt;&lt;/record-ids&gt;&lt;/item&gt;&lt;/Libraries&gt;"/>
  </w:docVars>
  <w:rsids>
    <w:rsidRoot w:val="008C56C9"/>
    <w:rsid w:val="000075E5"/>
    <w:rsid w:val="00026A75"/>
    <w:rsid w:val="00054781"/>
    <w:rsid w:val="000854C9"/>
    <w:rsid w:val="001107E3"/>
    <w:rsid w:val="00144F8C"/>
    <w:rsid w:val="00153DA4"/>
    <w:rsid w:val="001546DB"/>
    <w:rsid w:val="00160C15"/>
    <w:rsid w:val="00193333"/>
    <w:rsid w:val="001B0A09"/>
    <w:rsid w:val="001C3DFD"/>
    <w:rsid w:val="001C4550"/>
    <w:rsid w:val="001D6D4D"/>
    <w:rsid w:val="001E44E2"/>
    <w:rsid w:val="002237CF"/>
    <w:rsid w:val="0024096E"/>
    <w:rsid w:val="00243FD2"/>
    <w:rsid w:val="002511A7"/>
    <w:rsid w:val="00255EC1"/>
    <w:rsid w:val="002726B2"/>
    <w:rsid w:val="00284F94"/>
    <w:rsid w:val="00293830"/>
    <w:rsid w:val="00294A19"/>
    <w:rsid w:val="002C4EB5"/>
    <w:rsid w:val="002E0C64"/>
    <w:rsid w:val="002E1B72"/>
    <w:rsid w:val="002E7F33"/>
    <w:rsid w:val="002F60B4"/>
    <w:rsid w:val="003228CF"/>
    <w:rsid w:val="003647BC"/>
    <w:rsid w:val="00396C27"/>
    <w:rsid w:val="003B7A47"/>
    <w:rsid w:val="003D5ACD"/>
    <w:rsid w:val="003F2B4E"/>
    <w:rsid w:val="00415D6F"/>
    <w:rsid w:val="00427A70"/>
    <w:rsid w:val="00427FB4"/>
    <w:rsid w:val="00434B79"/>
    <w:rsid w:val="00467DB6"/>
    <w:rsid w:val="00485803"/>
    <w:rsid w:val="004F1423"/>
    <w:rsid w:val="004F1B4F"/>
    <w:rsid w:val="005003FE"/>
    <w:rsid w:val="00501E35"/>
    <w:rsid w:val="00545606"/>
    <w:rsid w:val="00571BFC"/>
    <w:rsid w:val="00590BD1"/>
    <w:rsid w:val="005B4F82"/>
    <w:rsid w:val="005C233F"/>
    <w:rsid w:val="006353F5"/>
    <w:rsid w:val="006526B6"/>
    <w:rsid w:val="006768D8"/>
    <w:rsid w:val="00697C16"/>
    <w:rsid w:val="006C3528"/>
    <w:rsid w:val="00764474"/>
    <w:rsid w:val="00776D6C"/>
    <w:rsid w:val="0077775C"/>
    <w:rsid w:val="007C6DF9"/>
    <w:rsid w:val="007D502C"/>
    <w:rsid w:val="0080662A"/>
    <w:rsid w:val="00832AE4"/>
    <w:rsid w:val="00842E2E"/>
    <w:rsid w:val="00857C2B"/>
    <w:rsid w:val="00857C3B"/>
    <w:rsid w:val="00883358"/>
    <w:rsid w:val="00891EBF"/>
    <w:rsid w:val="008B31AF"/>
    <w:rsid w:val="008B61DD"/>
    <w:rsid w:val="008C1DED"/>
    <w:rsid w:val="008C56C9"/>
    <w:rsid w:val="008D546C"/>
    <w:rsid w:val="00910727"/>
    <w:rsid w:val="0091302D"/>
    <w:rsid w:val="00923027"/>
    <w:rsid w:val="00923AE9"/>
    <w:rsid w:val="00927BC9"/>
    <w:rsid w:val="00947A42"/>
    <w:rsid w:val="00976429"/>
    <w:rsid w:val="009A516F"/>
    <w:rsid w:val="009C2BC4"/>
    <w:rsid w:val="009F29B6"/>
    <w:rsid w:val="00A46AC8"/>
    <w:rsid w:val="00A60D4D"/>
    <w:rsid w:val="00A62E84"/>
    <w:rsid w:val="00A65E38"/>
    <w:rsid w:val="00A72AA3"/>
    <w:rsid w:val="00A77084"/>
    <w:rsid w:val="00AA0B14"/>
    <w:rsid w:val="00AA64A0"/>
    <w:rsid w:val="00AF4434"/>
    <w:rsid w:val="00B05A33"/>
    <w:rsid w:val="00B14AA4"/>
    <w:rsid w:val="00B37E62"/>
    <w:rsid w:val="00B61816"/>
    <w:rsid w:val="00B82882"/>
    <w:rsid w:val="00B8600B"/>
    <w:rsid w:val="00B94561"/>
    <w:rsid w:val="00BA14EC"/>
    <w:rsid w:val="00BA3C0D"/>
    <w:rsid w:val="00BE6112"/>
    <w:rsid w:val="00C07817"/>
    <w:rsid w:val="00C111FB"/>
    <w:rsid w:val="00C930D2"/>
    <w:rsid w:val="00CA0282"/>
    <w:rsid w:val="00CE739D"/>
    <w:rsid w:val="00CF3248"/>
    <w:rsid w:val="00D26561"/>
    <w:rsid w:val="00D65E42"/>
    <w:rsid w:val="00D86C28"/>
    <w:rsid w:val="00DA1AE9"/>
    <w:rsid w:val="00DB711E"/>
    <w:rsid w:val="00DB76C3"/>
    <w:rsid w:val="00DC2BA2"/>
    <w:rsid w:val="00DD448C"/>
    <w:rsid w:val="00E03E7E"/>
    <w:rsid w:val="00E323E2"/>
    <w:rsid w:val="00E361C9"/>
    <w:rsid w:val="00E36A80"/>
    <w:rsid w:val="00E47992"/>
    <w:rsid w:val="00E501C4"/>
    <w:rsid w:val="00E5078B"/>
    <w:rsid w:val="00E5392B"/>
    <w:rsid w:val="00E800C8"/>
    <w:rsid w:val="00E95C7E"/>
    <w:rsid w:val="00EA5EE5"/>
    <w:rsid w:val="00EB27EC"/>
    <w:rsid w:val="00EB5A42"/>
    <w:rsid w:val="00EC1CFC"/>
    <w:rsid w:val="00EF3F70"/>
    <w:rsid w:val="00F23E43"/>
    <w:rsid w:val="00F53D61"/>
    <w:rsid w:val="00F57D3A"/>
    <w:rsid w:val="00F8654B"/>
    <w:rsid w:val="00FB27A3"/>
    <w:rsid w:val="00FE0408"/>
    <w:rsid w:val="00FF6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96F39-8B6B-42EA-9A3C-27511255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2E84"/>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6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447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526B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26B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26B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26B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26B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6B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E8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6DF9"/>
    <w:rPr>
      <w:color w:val="0000FF"/>
      <w:u w:val="single"/>
    </w:rPr>
  </w:style>
  <w:style w:type="character" w:customStyle="1" w:styleId="Heading2Char">
    <w:name w:val="Heading 2 Char"/>
    <w:basedOn w:val="DefaultParagraphFont"/>
    <w:link w:val="Heading2"/>
    <w:uiPriority w:val="9"/>
    <w:rsid w:val="00B945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644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526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526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26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26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D448C"/>
    <w:rPr>
      <w:rFonts w:ascii="Calibri" w:hAnsi="Calibri"/>
      <w:noProof/>
      <w:lang w:val="en-US"/>
    </w:rPr>
  </w:style>
  <w:style w:type="paragraph" w:customStyle="1" w:styleId="EndNoteBibliography">
    <w:name w:val="EndNote Bibliography"/>
    <w:basedOn w:val="Normal"/>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DD448C"/>
    <w:rPr>
      <w:rFonts w:ascii="Calibri" w:hAnsi="Calibri"/>
      <w:noProof/>
      <w:lang w:val="en-US"/>
    </w:rPr>
  </w:style>
  <w:style w:type="character" w:styleId="SubtleReference">
    <w:name w:val="Subtle Reference"/>
    <w:basedOn w:val="DefaultParagraphFont"/>
    <w:uiPriority w:val="31"/>
    <w:qFormat/>
    <w:rsid w:val="00DD448C"/>
    <w:rPr>
      <w:smallCaps/>
      <w:color w:val="5A5A5A" w:themeColor="text1" w:themeTint="A5"/>
    </w:rPr>
  </w:style>
  <w:style w:type="character" w:customStyle="1" w:styleId="UnresolvedMention">
    <w:name w:val="Unresolved Mention"/>
    <w:basedOn w:val="DefaultParagraphFont"/>
    <w:uiPriority w:val="99"/>
    <w:semiHidden/>
    <w:unhideWhenUsed/>
    <w:rsid w:val="00FB2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forestry.gov.uk/forestry/infd-7aqdgc" TargetMode="Externa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3411</TotalTime>
  <Pages>9</Pages>
  <Words>4590</Words>
  <Characters>26166</Characters>
  <Application>Microsoft Office Word</Application>
  <DocSecurity>0</DocSecurity>
  <Lines>218</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University of Edinburgh</Company>
  <LinksUpToDate>false</LinksUpToDate>
  <CharactersWithSpaces>30695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FERRARETTO Daniele</cp:lastModifiedBy>
  <cp:revision>12</cp:revision>
  <dcterms:created xsi:type="dcterms:W3CDTF">2017-10-03T17:57:00Z</dcterms:created>
  <dcterms:modified xsi:type="dcterms:W3CDTF">2017-10-12T16:37:00Z</dcterms:modified>
</cp:coreProperties>
</file>