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78B" w:rsidRDefault="00E5078B" w:rsidP="000854C9">
      <w:pPr>
        <w:rPr>
          <w:color w:val="1F4E79" w:themeColor="accent1" w:themeShade="80"/>
        </w:rPr>
      </w:pPr>
      <w:r w:rsidRPr="00857C2B">
        <w:rPr>
          <w:color w:val="1F4E79" w:themeColor="accent1" w:themeShade="80"/>
        </w:rPr>
        <w:t>Acronyms</w:t>
      </w:r>
      <w:r w:rsidR="00857C2B" w:rsidRPr="00857C2B">
        <w:rPr>
          <w:color w:val="1F4E79" w:themeColor="accent1" w:themeShade="80"/>
        </w:rPr>
        <w:t xml:space="preserve"> and definitions</w:t>
      </w:r>
    </w:p>
    <w:p w:rsidR="006353F5" w:rsidRDefault="006353F5" w:rsidP="000854C9">
      <w:r w:rsidRPr="006353F5">
        <w:rPr>
          <w:b/>
        </w:rPr>
        <w:t>15N</w:t>
      </w:r>
      <w:r>
        <w:t xml:space="preserve"> = Stable isotope of nitrogen, it represents the 0.3663% of the N in atmosphere</w:t>
      </w:r>
    </w:p>
    <w:p w:rsidR="006353F5" w:rsidRPr="006353F5" w:rsidRDefault="006353F5" w:rsidP="000854C9">
      <w:r w:rsidRPr="006353F5">
        <w:rPr>
          <w:b/>
        </w:rPr>
        <w:t>δ</w:t>
      </w:r>
      <w:r w:rsidRPr="006353F5">
        <w:rPr>
          <w:b/>
          <w:vertAlign w:val="superscript"/>
        </w:rPr>
        <w:t>15</w:t>
      </w:r>
      <w:r w:rsidRPr="006353F5">
        <w:rPr>
          <w:b/>
        </w:rPr>
        <w:t>N</w:t>
      </w:r>
      <w:r w:rsidRPr="006353F5">
        <w:t xml:space="preserve"> =</w:t>
      </w:r>
      <w:r>
        <w:t xml:space="preserve"> a measure of the ratio of 15N/14N of a sample compared to the ratio of the standard, i.e. the ratio of the atmospheric nitrogen, express as a permil (</w:t>
      </w:r>
      <w:r w:rsidR="002F60B4" w:rsidRPr="002F60B4">
        <w:t>‰</w:t>
      </w:r>
      <w:r w:rsidR="002F60B4">
        <w:t>) value.</w:t>
      </w:r>
    </w:p>
    <w:p w:rsidR="0024096E" w:rsidRPr="0024096E" w:rsidRDefault="0024096E" w:rsidP="000854C9">
      <w:r w:rsidRPr="0024096E">
        <w:rPr>
          <w:b/>
        </w:rPr>
        <w:t>DBH</w:t>
      </w:r>
      <w:r>
        <w:t xml:space="preserve"> = diameter at breast height. </w:t>
      </w:r>
    </w:p>
    <w:p w:rsidR="00E5078B" w:rsidRDefault="00E5078B" w:rsidP="000854C9">
      <w:r w:rsidRPr="00A60D4D">
        <w:rPr>
          <w:b/>
        </w:rPr>
        <w:t>N</w:t>
      </w:r>
      <w:r w:rsidRPr="00A60D4D">
        <w:rPr>
          <w:b/>
          <w:vertAlign w:val="subscript"/>
        </w:rPr>
        <w:t>dep</w:t>
      </w:r>
      <w:r>
        <w:t xml:space="preserve"> = nitrogen deposition</w:t>
      </w:r>
      <w:r w:rsidR="00857C2B">
        <w:t xml:space="preserve">, input of reactive nitrogen from the atmosphere to the biosphere both as dry deposition and in precipitation, or wet deposition. </w:t>
      </w:r>
    </w:p>
    <w:p w:rsidR="00E5078B" w:rsidRDefault="00E5078B" w:rsidP="000854C9">
      <w:r w:rsidRPr="00A60D4D">
        <w:rPr>
          <w:b/>
        </w:rPr>
        <w:t>SF</w:t>
      </w:r>
      <w:r>
        <w:t xml:space="preserve"> = stemflow</w:t>
      </w:r>
      <w:r w:rsidR="00857C2B">
        <w:t>,</w:t>
      </w:r>
      <w:r>
        <w:t xml:space="preserve"> flow of intercepted water down the stem or trunk of a plant</w:t>
      </w:r>
      <w:r w:rsidR="0024096E">
        <w:t>.</w:t>
      </w:r>
    </w:p>
    <w:p w:rsidR="00E5078B" w:rsidRDefault="00857C2B" w:rsidP="000854C9">
      <w:r w:rsidRPr="00A60D4D">
        <w:rPr>
          <w:b/>
        </w:rPr>
        <w:t>TF</w:t>
      </w:r>
      <w:r>
        <w:t xml:space="preserve"> = </w:t>
      </w:r>
      <w:proofErr w:type="spellStart"/>
      <w:r>
        <w:t>through</w:t>
      </w:r>
      <w:r w:rsidR="002F60B4">
        <w:t>fall</w:t>
      </w:r>
      <w:proofErr w:type="spellEnd"/>
      <w:r w:rsidR="002F60B4">
        <w:t xml:space="preserve">, excess precipitation shed </w:t>
      </w:r>
      <w:r>
        <w:t>by wet leaves onto the ground.</w:t>
      </w:r>
    </w:p>
    <w:p w:rsidR="00A72AA3" w:rsidRDefault="00A62E84" w:rsidP="000854C9">
      <w:pPr>
        <w:pStyle w:val="Titolo1"/>
      </w:pPr>
      <w:r>
        <w:t>Site description and methodology</w:t>
      </w:r>
    </w:p>
    <w:p w:rsidR="00764474" w:rsidRPr="00764474" w:rsidRDefault="00764474" w:rsidP="000854C9">
      <w:pPr>
        <w:pStyle w:val="Titolo2"/>
      </w:pPr>
      <w:r>
        <w:t xml:space="preserve">Site </w:t>
      </w:r>
      <w:r w:rsidR="00976429">
        <w:t>description</w:t>
      </w:r>
    </w:p>
    <w:p w:rsidR="003228CF" w:rsidRDefault="006526B6" w:rsidP="006526B6">
      <w:r>
        <w:t>The experiment site is located in Griffin Forest, Perthshire (</w:t>
      </w:r>
      <w:r w:rsidR="00891EBF">
        <w:t xml:space="preserve">Scotland, </w:t>
      </w:r>
      <w:r>
        <w:t>UK)</w:t>
      </w:r>
      <w:r w:rsidR="003228CF">
        <w:t xml:space="preserve">, on the north facing slope of the Tay Valley </w:t>
      </w:r>
      <w:r w:rsidR="00F53D61">
        <w:t>at about 4 km from</w:t>
      </w:r>
      <w:r w:rsidR="003228CF">
        <w:t xml:space="preserve"> the town of </w:t>
      </w:r>
      <w:proofErr w:type="spellStart"/>
      <w:r w:rsidR="003228CF">
        <w:t>Aberfeldy</w:t>
      </w:r>
      <w:proofErr w:type="spellEnd"/>
      <w:r>
        <w:t xml:space="preserve">. </w:t>
      </w:r>
    </w:p>
    <w:p w:rsidR="003228CF" w:rsidRDefault="00F53D61" w:rsidP="006526B6">
      <w:r>
        <w:t xml:space="preserve">Figures 1 shows the monthly average temperature for </w:t>
      </w:r>
      <w:proofErr w:type="spellStart"/>
      <w:r>
        <w:t>Aberfeldy</w:t>
      </w:r>
      <w:proofErr w:type="spellEnd"/>
      <w:r>
        <w:t>. This area is characterised by relatively cool winters and warm summers, compared to Scotland. The average annual rainfall for the same period is about 1050 mm pe</w:t>
      </w:r>
      <w:r w:rsidR="00590BD1">
        <w:t>r year, with a maximum in 2014 of 1376.2 mm and a minimum in 2016 of768.6 mm (fig. 2)</w:t>
      </w:r>
      <w:r>
        <w:t>.</w:t>
      </w:r>
    </w:p>
    <w:p w:rsidR="00243FD2" w:rsidRDefault="00243FD2" w:rsidP="006526B6">
      <w:pPr>
        <w:rPr>
          <w:i/>
        </w:rPr>
      </w:pPr>
      <w:r>
        <w:rPr>
          <w:noProof/>
          <w:lang w:eastAsia="en-GB"/>
        </w:rPr>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t xml:space="preserve">Fig. 1: average monthly temperatures in </w:t>
      </w:r>
      <w:proofErr w:type="spellStart"/>
      <w:r w:rsidRPr="001107E3">
        <w:rPr>
          <w:i/>
          <w:sz w:val="20"/>
        </w:rPr>
        <w:t>Aberfeldy</w:t>
      </w:r>
      <w:proofErr w:type="spellEnd"/>
      <w:r w:rsidRPr="001107E3">
        <w:rPr>
          <w:i/>
          <w:sz w:val="20"/>
        </w:rPr>
        <w:t>, years 2012-2016. Source: weatheronline.com</w:t>
      </w:r>
    </w:p>
    <w:p w:rsidR="00EC1CFC" w:rsidRDefault="00243FD2" w:rsidP="001107E3">
      <w:pPr>
        <w:keepLines/>
      </w:pPr>
      <w:r>
        <w:rPr>
          <w:noProof/>
          <w:lang w:eastAsia="en-GB"/>
        </w:rPr>
        <w:lastRenderedPageBreak/>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t>Fig.</w:t>
      </w:r>
      <w:r w:rsidR="00243FD2" w:rsidRPr="001107E3">
        <w:rPr>
          <w:i/>
          <w:sz w:val="20"/>
        </w:rPr>
        <w:t xml:space="preserve"> 2</w:t>
      </w:r>
      <w:r w:rsidRPr="001107E3">
        <w:rPr>
          <w:i/>
          <w:sz w:val="20"/>
        </w:rPr>
        <w:t xml:space="preserve">: average monthly precipitation in </w:t>
      </w:r>
      <w:proofErr w:type="spellStart"/>
      <w:r w:rsidRPr="001107E3">
        <w:rPr>
          <w:i/>
          <w:sz w:val="20"/>
        </w:rPr>
        <w:t>Aberfeldy</w:t>
      </w:r>
      <w:proofErr w:type="spellEnd"/>
      <w:r w:rsidRPr="001107E3">
        <w:rPr>
          <w:i/>
          <w:sz w:val="20"/>
        </w:rPr>
        <w:t>, years 2012-2016. Source: weatheronline.com</w:t>
      </w:r>
    </w:p>
    <w:p w:rsidR="005B4F82" w:rsidRDefault="00DD448C" w:rsidP="006526B6">
      <w:r>
        <w:t xml:space="preserve">Rocks in the area of </w:t>
      </w:r>
      <w:proofErr w:type="spellStart"/>
      <w:r>
        <w:t>Aberfeldy</w:t>
      </w:r>
      <w:proofErr w:type="spellEnd"/>
      <w:r>
        <w:t xml:space="preserve"> belong to the </w:t>
      </w:r>
      <w:proofErr w:type="spellStart"/>
      <w:r>
        <w:t>Dalradian</w:t>
      </w:r>
      <w:proofErr w:type="spellEnd"/>
      <w:r>
        <w:t xml:space="preserve"> supergroup, metamorphosed marine sediments of late-Precambrian and Lower Palaeozoic age </w:t>
      </w:r>
      <w:r>
        <w:fldChar w:fldCharType="begin"/>
      </w:r>
      <w:r>
        <w:instrText xml:space="preserve"> ADDIN EN.CITE &lt;EndNote&gt;&lt;Cite&gt;&lt;Author&gt;Craig&lt;/Author&gt;&lt;Year&gt;1925&lt;/Year&gt;&lt;RecNum&gt;61&lt;/RecNum&gt;&lt;DisplayText&gt;(Craig 1925)&lt;/DisplayText&gt;&lt;record&gt;&lt;rec-number&gt;61&lt;/rec-number&gt;&lt;foreign-keys&gt;&lt;key app="EN" db-id="arwpz50tppf20qes0adx5aztet0w9xtartsd" timestamp="1507224915"&gt;61&lt;/key&gt;&lt;/foreign-keys&gt;&lt;ref-type name="Book"&gt;6&lt;/ref-type&gt;&lt;contributors&gt;&lt;authors&gt;&lt;author&gt;Craig, G. Y.&lt;/author&gt;&lt;/authors&gt;&lt;tertiary-authors&gt;&lt;author&gt;Craig, G. Y.&lt;/author&gt;&lt;/tertiary-authors&gt;&lt;/contributors&gt;&lt;titles&gt;&lt;title&gt;Geology of Scotland&lt;/title&gt;&lt;/titles&gt;&lt;edition&gt;2nd&lt;/edition&gt;&lt;section&gt;472&lt;/section&gt;&lt;dates&gt;&lt;year&gt;1925&lt;/year&gt;&lt;/dates&gt;&lt;publisher&gt;Edinburgh: Scottish Academics&lt;/publisher&gt;&lt;isbn&gt;0707303168&lt;/isbn&gt;&lt;urls&gt;&lt;/urls&gt;&lt;/record&gt;&lt;/Cite&gt;&lt;/EndNote&gt;</w:instrText>
      </w:r>
      <w:r>
        <w:fldChar w:fldCharType="separate"/>
      </w:r>
      <w:r>
        <w:rPr>
          <w:noProof/>
        </w:rPr>
        <w:t>(Craig 1925)</w:t>
      </w:r>
      <w:r>
        <w:fldChar w:fldCharType="end"/>
      </w:r>
      <w:r>
        <w:t>.</w:t>
      </w:r>
    </w:p>
    <w:p w:rsidR="000854C9" w:rsidRDefault="00832AE4" w:rsidP="000854C9">
      <w:r>
        <w:t xml:space="preserve">The bedrock </w:t>
      </w:r>
      <w:r w:rsidR="00243FD2">
        <w:t>under</w:t>
      </w:r>
      <w:r w:rsidR="001107E3">
        <w:t xml:space="preserve"> the forest</w:t>
      </w:r>
      <w:r w:rsidR="00243FD2">
        <w:t xml:space="preserve"> </w:t>
      </w:r>
      <w:r>
        <w:t xml:space="preserve">is characterised by </w:t>
      </w:r>
      <w:proofErr w:type="spellStart"/>
      <w:r>
        <w:t>Psammite</w:t>
      </w:r>
      <w:proofErr w:type="spellEnd"/>
      <w:r>
        <w:t xml:space="preserve"> and </w:t>
      </w:r>
      <w:proofErr w:type="spellStart"/>
      <w:r>
        <w:t>Semipelite</w:t>
      </w:r>
      <w:proofErr w:type="spellEnd"/>
      <w:r>
        <w:t xml:space="preserve"> with minor inclusions of </w:t>
      </w:r>
      <w:proofErr w:type="spellStart"/>
      <w:r>
        <w:t>metalava</w:t>
      </w:r>
      <w:proofErr w:type="spellEnd"/>
      <w:r>
        <w:t xml:space="preserve"> and </w:t>
      </w:r>
      <w:proofErr w:type="spellStart"/>
      <w:r>
        <w:t>metatuff</w:t>
      </w:r>
      <w:proofErr w:type="spellEnd"/>
      <w:r>
        <w:t xml:space="preserve">, covered by </w:t>
      </w:r>
      <w:proofErr w:type="spellStart"/>
      <w:r w:rsidR="00D26561">
        <w:t>Devensian</w:t>
      </w:r>
      <w:proofErr w:type="spellEnd"/>
      <w:r w:rsidR="00D26561">
        <w:t xml:space="preserve"> </w:t>
      </w:r>
      <w:r w:rsidR="00CE739D">
        <w:t xml:space="preserve">till </w:t>
      </w:r>
      <w:r w:rsidR="001107E3">
        <w:t>deposits (see fig. 3 and 4).</w:t>
      </w:r>
      <w:r w:rsidR="00842E2E">
        <w:t xml:space="preserve"> The soil have been classified as a </w:t>
      </w:r>
      <w:proofErr w:type="spellStart"/>
      <w:r w:rsidR="00842E2E">
        <w:t>stagno-humic</w:t>
      </w:r>
      <w:proofErr w:type="spellEnd"/>
      <w:r w:rsidR="00842E2E">
        <w:t xml:space="preserve"> </w:t>
      </w:r>
      <w:proofErr w:type="spellStart"/>
      <w:r w:rsidR="00842E2E">
        <w:t>gley</w:t>
      </w:r>
      <w:proofErr w:type="spellEnd"/>
      <w:r w:rsidR="00842E2E">
        <w:t xml:space="preserve"> of the </w:t>
      </w:r>
      <w:proofErr w:type="spellStart"/>
      <w:r w:rsidR="00842E2E">
        <w:t>Strichen</w:t>
      </w:r>
      <w:proofErr w:type="spellEnd"/>
      <w:r w:rsidR="00842E2E">
        <w:t xml:space="preserve"> soil association </w:t>
      </w:r>
      <w:r w:rsidR="00842E2E">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842E2E">
        <w:instrText xml:space="preserve"> ADDIN EN.CITE </w:instrText>
      </w:r>
      <w:r w:rsidR="00842E2E">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842E2E">
        <w:instrText xml:space="preserve"> ADDIN EN.CITE.DATA </w:instrText>
      </w:r>
      <w:r w:rsidR="00842E2E">
        <w:fldChar w:fldCharType="end"/>
      </w:r>
      <w:r w:rsidR="00842E2E">
        <w:fldChar w:fldCharType="separate"/>
      </w:r>
      <w:r w:rsidR="00842E2E">
        <w:rPr>
          <w:noProof/>
        </w:rPr>
        <w:t>(Clement, Jarvis et al. 2012)</w:t>
      </w:r>
      <w:r w:rsidR="00842E2E">
        <w:fldChar w:fldCharType="end"/>
      </w:r>
      <w:r w:rsidR="00842E2E">
        <w:t>.</w:t>
      </w:r>
    </w:p>
    <w:p w:rsidR="001107E3" w:rsidRDefault="001107E3" w:rsidP="000854C9">
      <w:r>
        <w:rPr>
          <w:noProof/>
          <w:lang w:eastAsia="en-GB"/>
        </w:rPr>
        <w:drawing>
          <wp:inline distT="0" distB="0" distL="0" distR="0">
            <wp:extent cx="4407735" cy="31917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7">
                      <a:extLst>
                        <a:ext uri="{28A0092B-C50C-407E-A947-70E740481C1C}">
                          <a14:useLocalDpi xmlns:a14="http://schemas.microsoft.com/office/drawing/2010/main" val="0"/>
                        </a:ext>
                      </a:extLst>
                    </a:blip>
                    <a:stretch>
                      <a:fillRect/>
                    </a:stretch>
                  </pic:blipFill>
                  <pic:spPr>
                    <a:xfrm>
                      <a:off x="0" y="0"/>
                      <a:ext cx="4442102" cy="3216660"/>
                    </a:xfrm>
                    <a:prstGeom prst="rect">
                      <a:avLst/>
                    </a:prstGeom>
                  </pic:spPr>
                </pic:pic>
              </a:graphicData>
            </a:graphic>
          </wp:inline>
        </w:drawing>
      </w:r>
    </w:p>
    <w:p w:rsidR="001107E3" w:rsidRPr="001107E3" w:rsidRDefault="001107E3" w:rsidP="000854C9">
      <w:pPr>
        <w:rPr>
          <w:i/>
          <w:sz w:val="20"/>
        </w:rPr>
      </w:pPr>
      <w:r w:rsidRPr="001107E3">
        <w:rPr>
          <w:i/>
          <w:sz w:val="20"/>
        </w:rPr>
        <w:t xml:space="preserve">Fig:3 geological map of the bedrock in the Griffin Forest area (1:50000). Source: Edina </w:t>
      </w:r>
      <w:proofErr w:type="spellStart"/>
      <w:r w:rsidRPr="001107E3">
        <w:rPr>
          <w:i/>
          <w:sz w:val="20"/>
        </w:rPr>
        <w:t>digimap</w:t>
      </w:r>
      <w:proofErr w:type="spellEnd"/>
      <w:r w:rsidRPr="001107E3">
        <w:rPr>
          <w:i/>
          <w:sz w:val="20"/>
        </w:rPr>
        <w:t>.</w:t>
      </w:r>
    </w:p>
    <w:p w:rsidR="001107E3" w:rsidRDefault="001107E3" w:rsidP="000854C9">
      <w:pPr>
        <w:rPr>
          <w:i/>
        </w:rPr>
      </w:pPr>
      <w:r>
        <w:rPr>
          <w:i/>
          <w:noProof/>
          <w:lang w:eastAsia="en-GB"/>
        </w:rPr>
        <w:lastRenderedPageBreak/>
        <w:drawing>
          <wp:inline distT="0" distB="0" distL="0" distR="0">
            <wp:extent cx="4405023" cy="38403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8">
                      <a:extLst>
                        <a:ext uri="{28A0092B-C50C-407E-A947-70E740481C1C}">
                          <a14:useLocalDpi xmlns:a14="http://schemas.microsoft.com/office/drawing/2010/main" val="0"/>
                        </a:ext>
                      </a:extLst>
                    </a:blip>
                    <a:stretch>
                      <a:fillRect/>
                    </a:stretch>
                  </pic:blipFill>
                  <pic:spPr>
                    <a:xfrm>
                      <a:off x="0" y="0"/>
                      <a:ext cx="4432615" cy="3864419"/>
                    </a:xfrm>
                    <a:prstGeom prst="rect">
                      <a:avLst/>
                    </a:prstGeom>
                  </pic:spPr>
                </pic:pic>
              </a:graphicData>
            </a:graphic>
          </wp:inline>
        </w:drawing>
      </w:r>
    </w:p>
    <w:p w:rsidR="001107E3" w:rsidRPr="001107E3" w:rsidRDefault="001107E3" w:rsidP="001107E3">
      <w:pPr>
        <w:rPr>
          <w:i/>
          <w:sz w:val="20"/>
        </w:rPr>
      </w:pPr>
      <w:r w:rsidRPr="001107E3">
        <w:rPr>
          <w:i/>
          <w:sz w:val="20"/>
        </w:rPr>
        <w:t xml:space="preserve">Fig:3 geological map of the superficial deposits in Griffin Forest area (1:50000). Source: Edina </w:t>
      </w:r>
      <w:proofErr w:type="spellStart"/>
      <w:r w:rsidRPr="001107E3">
        <w:rPr>
          <w:i/>
          <w:sz w:val="20"/>
        </w:rPr>
        <w:t>digimap</w:t>
      </w:r>
      <w:proofErr w:type="spellEnd"/>
      <w:r w:rsidRPr="001107E3">
        <w:rPr>
          <w:i/>
          <w:sz w:val="20"/>
        </w:rPr>
        <w:t>.</w:t>
      </w:r>
    </w:p>
    <w:p w:rsidR="001107E3" w:rsidRPr="003B7A47" w:rsidRDefault="00485803" w:rsidP="000854C9">
      <w:r>
        <w:t>The main factors determining the maximum height at which trees can grow are altitude, climate (especially wind exposure) and soil quality. The potential maximum height of the tree line exceeds only slightly the 600 meters in the Cairngorms</w:t>
      </w:r>
      <w:r w:rsidR="003B7A47">
        <w:t>, north of the case study area,</w:t>
      </w:r>
      <w:r>
        <w:t xml:space="preserve"> which is sensible lower than what can be found in Northern America and Scandinavia at similar latitudes. This can be due to the combination of the cool and wet oceanic climate and the wind exposure; soil types also indirectly reflect these two factors, as a direct combination o</w:t>
      </w:r>
      <w:r w:rsidR="004F1B4F">
        <w:t>f relieves and rainfall pattern</w:t>
      </w:r>
      <w:r>
        <w:t>. The formation of peat blankets in the Scottish uplands, started after the last glaciation, is another limiting factor to the growth of trees that has been changed with the use of drainages</w:t>
      </w:r>
      <w:r w:rsidR="00590BD1">
        <w:t xml:space="preserve"> in plantations</w:t>
      </w:r>
      <w:r>
        <w:t xml:space="preserve"> to make the</w:t>
      </w:r>
      <w:r w:rsidR="004F1B4F">
        <w:t xml:space="preserve"> growth of t</w:t>
      </w:r>
      <w:r w:rsidR="007D502C">
        <w:t xml:space="preserve">ree roots possible </w:t>
      </w:r>
      <w:r w:rsidR="007D502C">
        <w:fldChar w:fldCharType="begin"/>
      </w:r>
      <w:r w:rsidR="007D502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7D502C">
        <w:rPr>
          <w:noProof/>
        </w:rPr>
        <w:t>(Oosthoek 2013)</w:t>
      </w:r>
      <w:r w:rsidR="007D502C">
        <w:fldChar w:fldCharType="end"/>
      </w:r>
      <w:r w:rsidR="007D502C">
        <w:t>.</w:t>
      </w:r>
    </w:p>
    <w:p w:rsidR="000854C9" w:rsidRDefault="000854C9" w:rsidP="000854C9">
      <w:pPr>
        <w:pStyle w:val="Titolo3"/>
      </w:pPr>
      <w:r>
        <w:t xml:space="preserve">Before afforestation: brief history of </w:t>
      </w:r>
      <w:r w:rsidRPr="00B94561">
        <w:t>forest</w:t>
      </w:r>
      <w:r>
        <w:t xml:space="preserve"> cover in Scotland</w:t>
      </w:r>
    </w:p>
    <w:p w:rsidR="000854C9" w:rsidRDefault="00293830" w:rsidP="000854C9">
      <w:r>
        <w:t xml:space="preserve">The present status of Scottish forest cover </w:t>
      </w:r>
      <w:r w:rsidR="00B05A33">
        <w:t>reflects</w:t>
      </w:r>
      <w:r>
        <w:t xml:space="preserve"> a very recent afforestation process started on the second decade of the 20</w:t>
      </w:r>
      <w:r w:rsidRPr="00293830">
        <w:rPr>
          <w:vertAlign w:val="superscript"/>
        </w:rPr>
        <w:t>th</w:t>
      </w:r>
      <w:r>
        <w:t xml:space="preserve"> century: at the start of the past century, in fact, less than 5% of the UK were covered by forests. </w:t>
      </w:r>
      <w:r w:rsidR="00B05A33">
        <w:t>When thinking of the Highlands, one might think that the typical world known scenery of naked mountains, whose rocks have been modelled by the force of Nature are the effect of the combined pressure of the climatic conditions and human pressure in a relatively recent past. In fact, after the last Ice Age different types of forests covered the Highland</w:t>
      </w:r>
      <w:r w:rsidR="00590BD1">
        <w:t>s</w:t>
      </w:r>
      <w:r w:rsidR="00B05A33">
        <w:t xml:space="preserve">, mainly pine and oak, except the extreme northern portion and the islands where the forest cover was mainly </w:t>
      </w:r>
      <w:r w:rsidR="004F1B4F">
        <w:t>consisting of birch and hazel. The forests ex</w:t>
      </w:r>
      <w:r w:rsidR="00501E35">
        <w:t>tent reached its maximum peak about 6,000 years ago, when an educated guess based on palynological investigations suggest that at least the 60% of Scotland was covered by some sort of vegetation. In that same era p</w:t>
      </w:r>
      <w:r w:rsidR="00B05A33">
        <w:t>roof</w:t>
      </w:r>
      <w:r w:rsidR="00501E35">
        <w:t>s</w:t>
      </w:r>
      <w:r w:rsidR="00B05A33">
        <w:t xml:space="preserve"> of massive utili</w:t>
      </w:r>
      <w:r w:rsidR="004F1B4F">
        <w:t>sation and deforestation dates 4</w:t>
      </w:r>
      <w:r w:rsidR="00B05A33">
        <w:t xml:space="preserve">000 years ago </w:t>
      </w:r>
      <w:r w:rsidR="00501E35">
        <w:t xml:space="preserve">by the hand of early farming communities </w:t>
      </w:r>
      <w:r w:rsidR="007D502C">
        <w:fldChar w:fldCharType="begin"/>
      </w:r>
      <w:r w:rsidR="007D502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7D502C">
        <w:rPr>
          <w:noProof/>
        </w:rPr>
        <w:t>(Oosthoek 2013)</w:t>
      </w:r>
      <w:r w:rsidR="007D502C">
        <w:fldChar w:fldCharType="end"/>
      </w:r>
      <w:r w:rsidR="00B05A33">
        <w:t xml:space="preserve">. </w:t>
      </w:r>
      <w:r w:rsidR="00501E35">
        <w:t>In fact, w</w:t>
      </w:r>
      <w:r w:rsidR="000854C9">
        <w:t xml:space="preserve">hilst in north-west Scotland the pine forests were largely replaced by blanket-bog before any large impact by man, in the Eastern Highlands human activity was the main destructive agent, stretching over a period from about 1700 BC to about 1000 AD: the fire, the cattle, the sheep and </w:t>
      </w:r>
      <w:r w:rsidR="000854C9">
        <w:lastRenderedPageBreak/>
        <w:t xml:space="preserve">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w:t>
      </w:r>
      <w:r w:rsidR="00C111FB">
        <w:t xml:space="preserve">percent during the Middle Ages </w:t>
      </w:r>
      <w:r w:rsidR="007D502C">
        <w:fldChar w:fldCharType="begin"/>
      </w:r>
      <w:r w:rsidR="007D502C">
        <w:instrText xml:space="preserve"> ADDIN EN.CITE &lt;EndNote&gt;&lt;Cite&gt;&lt;Author&gt;Smout&lt;/Author&gt;&lt;Year&gt;1997&lt;/Year&gt;&lt;RecNum&gt;63&lt;/RecNum&gt;&lt;DisplayText&gt;(Smout 1997)&lt;/DisplayText&gt;&lt;record&gt;&lt;rec-number&gt;63&lt;/rec-number&gt;&lt;foreign-keys&gt;&lt;key app="EN" db-id="arwpz50tppf20qes0adx5aztet0w9xtartsd" timestamp="1507736588"&gt;63&lt;/key&gt;&lt;/foreign-keys&gt;&lt;ref-type name="Edited Book"&gt;28&lt;/ref-type&gt;&lt;contributors&gt;&lt;authors&gt;&lt;author&gt;Smout, T. C.&lt;/author&gt;&lt;/authors&gt;&lt;/contributors&gt;&lt;titles&gt;&lt;title&gt;Scottish Woodland History&lt;/title&gt;&lt;/titles&gt;&lt;pages&gt;206&lt;/pages&gt;&lt;edition&gt;1st&lt;/edition&gt;&lt;dates&gt;&lt;year&gt;1997&lt;/year&gt;&lt;/dates&gt;&lt;publisher&gt;Scottish Cultural Press - Edinburgh&lt;/publisher&gt;&lt;isbn&gt;1898218536&lt;/isbn&gt;&lt;urls&gt;&lt;/urls&gt;&lt;/record&gt;&lt;/Cite&gt;&lt;/EndNote&gt;</w:instrText>
      </w:r>
      <w:r w:rsidR="007D502C">
        <w:fldChar w:fldCharType="separate"/>
      </w:r>
      <w:r w:rsidR="007D502C">
        <w:rPr>
          <w:noProof/>
        </w:rPr>
        <w:t>(Smout 1997)</w:t>
      </w:r>
      <w:r w:rsidR="007D502C">
        <w:fldChar w:fldCharType="end"/>
      </w:r>
      <w:r w:rsidR="007D502C">
        <w:t>.</w:t>
      </w:r>
    </w:p>
    <w:p w:rsidR="000854C9" w:rsidRDefault="001C4550" w:rsidP="000854C9">
      <w:r>
        <w:t>As written above, at the beginning of the 20</w:t>
      </w:r>
      <w:r w:rsidRPr="001C4550">
        <w:rPr>
          <w:vertAlign w:val="superscript"/>
        </w:rPr>
        <w:t>th</w:t>
      </w:r>
      <w:r>
        <w:t xml:space="preserve"> century forests counted for about 5% of the total land in UK. When </w:t>
      </w:r>
      <w:r w:rsidR="000854C9">
        <w:t>the WWI</w:t>
      </w:r>
      <w:r>
        <w:t xml:space="preserve"> burst</w:t>
      </w:r>
      <w:r w:rsidR="000854C9">
        <w:t xml:space="preserve"> about 182,000 ha of mostly broadleaved woodland were felled</w:t>
      </w:r>
      <w:r w:rsidR="00284F94">
        <w:t xml:space="preserve"> and the urge for a strategic policy to create and maintain a woodland stock brought to what can be considered the foundations of today’s forestry policy and practices: t</w:t>
      </w:r>
      <w:r w:rsidR="000854C9">
        <w:t>he Forestry Act of 1919</w:t>
      </w:r>
      <w:r w:rsidR="00284F94">
        <w:t>.</w:t>
      </w:r>
      <w:r w:rsidR="000854C9">
        <w:t xml:space="preserve"> The Forestry Commission (FC) was created and a target of 0.75 million ha of new forests was set</w:t>
      </w:r>
      <w:r w:rsidR="006768D8">
        <w:t>, so that the country had not to rely anymore on timber imports</w:t>
      </w:r>
      <w:r w:rsidR="000854C9">
        <w:t xml:space="preserve">. </w:t>
      </w:r>
      <w:r w:rsidR="00E5392B">
        <w:t>Due to</w:t>
      </w:r>
      <w:r w:rsidR="00485803">
        <w:t xml:space="preserve"> the second </w:t>
      </w:r>
      <w:proofErr w:type="spellStart"/>
      <w:r w:rsidR="00485803">
        <w:t>Wolrd</w:t>
      </w:r>
      <w:proofErr w:type="spellEnd"/>
      <w:r w:rsidR="00485803">
        <w:t xml:space="preserve"> War conflict, and</w:t>
      </w:r>
      <w:r w:rsidR="000854C9">
        <w:t xml:space="preserve"> the </w:t>
      </w:r>
      <w:r w:rsidR="00485803">
        <w:t xml:space="preserve">consequent </w:t>
      </w:r>
      <w:r w:rsidR="000854C9">
        <w:t>need for more timber</w:t>
      </w:r>
      <w:r w:rsidR="00485803">
        <w:t>,</w:t>
      </w:r>
      <w:r w:rsidR="000854C9">
        <w:t xml:space="preserve"> </w:t>
      </w:r>
      <w:proofErr w:type="gramStart"/>
      <w:r w:rsidR="000854C9">
        <w:t>In</w:t>
      </w:r>
      <w:proofErr w:type="gramEnd"/>
      <w:r w:rsidR="000854C9">
        <w:t xml:space="preserve"> 1943 the FC set a new ambitious target: 1.2 million ha to be afforested and a further 0.8 million ha of “effective” forest to be created by restocking existing woodlands. Afforestation continued undisturbed despite of the loss of strategic interest</w:t>
      </w:r>
      <w:r w:rsidR="00485803">
        <w:t xml:space="preserve">. </w:t>
      </w:r>
      <w:r w:rsidR="000854C9">
        <w:t xml:space="preserve">At the end of the 1970s the 1943 target was about to be passed. In December 1980 a ministerial statement announced a forestry policy that did not mention a total area of plantations anymore, but envisaged an afforestation rate of 20,000-25,000 ha per year, later increased to 30,000 ha in March 1986. Since 1919 upland afforestation has continued inexorably. Over the last 60 years nearly 18,000 ha have been planted each year. </w:t>
      </w:r>
    </w:p>
    <w:p w:rsidR="00485803" w:rsidRDefault="00485803" w:rsidP="00485803">
      <w:r>
        <w:t>The area of woodland in the UK at 31</w:t>
      </w:r>
      <w:r w:rsidRPr="005003FE">
        <w:rPr>
          <w:vertAlign w:val="superscript"/>
        </w:rPr>
        <w:t>st</w:t>
      </w:r>
      <w:r>
        <w:t xml:space="preserve"> March 2017 exceeds the 3 million hectares, 1.4 of which is located in Scotland. Conifers account for the 51% of the overall forest cover and almost three quarters in Scotland. Sitka spruce accounts for around a half of the conifer area in UK, about 58% in Scotland </w:t>
      </w:r>
      <w:r w:rsidR="007D502C">
        <w:fldChar w:fldCharType="begin"/>
      </w:r>
      <w:r w:rsidR="00776D6C">
        <w:instrText xml:space="preserve"> ADDIN EN.CITE &lt;EndNote&gt;&lt;Cite&gt;&lt;Author&gt;Commission&lt;/Author&gt;&lt;Year&gt;2017&lt;/Year&gt;&lt;RecNum&gt;62&lt;/RecNum&gt;&lt;DisplayText&gt;(Forestry Commission 2017)&lt;/DisplayText&gt;&lt;record&gt;&lt;rec-number&gt;62&lt;/rec-number&gt;&lt;foreign-keys&gt;&lt;key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2017&lt;/date&gt;&lt;/pub-dates&gt;&lt;/dates&gt;&lt;urls&gt;&lt;related-urls&gt;&lt;url&gt;https://www.forestry.gov.uk/forestry/infd-7aqdgc&lt;/url&gt;&lt;/related-urls&gt;&lt;/urls&gt;&lt;/record&gt;&lt;/Cite&gt;&lt;Cite&gt;&lt;Author&gt;Forestry Commission&lt;/Author&gt;&lt;Year&gt;2017&lt;/Year&gt;&lt;RecNum&gt;62&lt;/RecNum&gt;&lt;record&gt;&lt;rec-number&gt;62&lt;/rec-number&gt;&lt;foreign-keys&gt;&lt;key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2017&lt;/date&gt;&lt;/pub-dates&gt;&lt;/dates&gt;&lt;urls&gt;&lt;related-urls&gt;&lt;url&gt;https://www.forestry.gov.uk/forestry/infd-7aqdgc&lt;/url&gt;&lt;/related-urls&gt;&lt;/urls&gt;&lt;/record&gt;&lt;/Cite&gt;&lt;/EndNote&gt;</w:instrText>
      </w:r>
      <w:r w:rsidR="007D502C">
        <w:fldChar w:fldCharType="separate"/>
      </w:r>
      <w:r w:rsidR="00776D6C">
        <w:rPr>
          <w:noProof/>
        </w:rPr>
        <w:t>(Forestry Commission 2017)</w:t>
      </w:r>
      <w:r w:rsidR="007D502C">
        <w:fldChar w:fldCharType="end"/>
      </w:r>
    </w:p>
    <w:p w:rsidR="00764474" w:rsidRDefault="00764474" w:rsidP="00976429">
      <w:pPr>
        <w:pStyle w:val="Titolo3"/>
      </w:pPr>
      <w:r>
        <w:t>The plantation</w:t>
      </w:r>
    </w:p>
    <w:p w:rsidR="00485803" w:rsidRDefault="00485803" w:rsidP="00485803">
      <w:r>
        <w:t>Tompkins, Steve. Forestry in crisis. The battle for the hills. 1989. Christopher Helm, London.</w:t>
      </w:r>
    </w:p>
    <w:p w:rsidR="00485803" w:rsidRDefault="00485803" w:rsidP="00485803">
      <w:r>
        <w:t xml:space="preserve">“The vocabulary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dependent on a single, alien species, the Sitka spruce, with lodgepole pine used where the ground is poorest. Tree-breeding programmes are also ensuring that the genetic base of the plants used will steadily decrease. Blanket afforestation consists of even aged conifer </w:t>
      </w:r>
      <w:r w:rsidR="00697C16">
        <w:t>monocultures that</w:t>
      </w:r>
      <w:r>
        <w:t xml:space="preserve"> are harvested and replanted, like any crop of surplus grain, except that</w:t>
      </w:r>
      <w:r w:rsidR="00697C16">
        <w:t xml:space="preserve"> the trees take decades to grow. </w:t>
      </w:r>
    </w:p>
    <w:p w:rsidR="00485803" w:rsidRDefault="00485803" w:rsidP="00485803">
      <w:r>
        <w:t>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w:t>
      </w:r>
      <w:r w:rsidR="00697C16">
        <w:t xml:space="preserve">forested” </w:t>
      </w:r>
      <w:r w:rsidR="00697C16">
        <w:fldChar w:fldCharType="begin"/>
      </w:r>
      <w:r w:rsidR="00697C16">
        <w:instrText xml:space="preserve"> ADDIN EN.CITE &lt;EndNote&gt;&lt;Cite&gt;&lt;Author&gt;Tompkins&lt;/Author&gt;&lt;Year&gt;1989&lt;/Year&gt;&lt;RecNum&gt;60&lt;/RecNum&gt;&lt;DisplayText&gt;(Tompkins 1989)&lt;/DisplayText&gt;&lt;record&gt;&lt;rec-number&gt;60&lt;/rec-number&gt;&lt;foreign-keys&gt;&lt;key app="EN" db-id="arwpz50tppf20qes0adx5aztet0w9xtartsd" timestamp="1507118191"&gt;60&lt;/key&gt;&lt;/foreign-keys&gt;&lt;ref-type name="Book"&gt;6&lt;/ref-type&gt;&lt;contributors&gt;&lt;authors&gt;&lt;author&gt;Tompkins, S.&lt;/author&gt;&lt;/authors&gt;&lt;/contributors&gt;&lt;titles&gt;&lt;title&gt;Forestry in crisis: the battle for the hills&lt;/title&gt;&lt;/titles&gt;&lt;pages&gt;192&lt;/pages&gt;&lt;dates&gt;&lt;year&gt;1989&lt;/year&gt;&lt;/dates&gt;&lt;publisher&gt;Christopher Helm&lt;/publisher&gt;&lt;isbn&gt;9780747032069&lt;/isbn&gt;&lt;urls&gt;&lt;/urls&gt;&lt;/record&gt;&lt;/Cite&gt;&lt;/EndNote&gt;</w:instrText>
      </w:r>
      <w:r w:rsidR="00697C16">
        <w:fldChar w:fldCharType="separate"/>
      </w:r>
      <w:r w:rsidR="00697C16">
        <w:rPr>
          <w:noProof/>
        </w:rPr>
        <w:t>(Tompkins 1989)</w:t>
      </w:r>
      <w:r w:rsidR="00697C16">
        <w:fldChar w:fldCharType="end"/>
      </w:r>
      <w:r w:rsidR="00697C16">
        <w:t xml:space="preserve">. </w:t>
      </w:r>
    </w:p>
    <w:p w:rsidR="00467DB6" w:rsidRDefault="001E44E2" w:rsidP="00467DB6">
      <w:r>
        <w:t xml:space="preserve">Since the </w:t>
      </w:r>
      <w:r w:rsidR="0080662A">
        <w:t>Forest Census of 1995 the woodland area in Scotland is estimated to be grown of a further 7.5%</w:t>
      </w:r>
      <w:r w:rsidR="00FF62A4">
        <w:t xml:space="preserve"> </w:t>
      </w:r>
      <w:r w:rsidR="00FF62A4">
        <w:fldChar w:fldCharType="begin"/>
      </w:r>
      <w:r w:rsidR="00FF62A4">
        <w:instrText xml:space="preserve"> ADDIN EN.CITE &lt;EndNote&gt;&lt;Cite&gt;&lt;Author&gt;Forestry Commission&lt;/Author&gt;&lt;Year&gt;2011&lt;/Year&gt;&lt;RecNum&gt;65&lt;/RecNum&gt;&lt;DisplayText&gt;(Forestry Commission 2011)&lt;/DisplayText&gt;&lt;record&gt;&lt;rec-number&gt;65&lt;/rec-number&gt;&lt;foreign-keys&gt;&lt;key app="EN" db-id="arwpz50tppf20qes0adx5aztet0w9xtartsd" timestamp="1507737962"&gt;65&lt;/key&gt;&lt;/foreign-keys&gt;&lt;ref-type name="Electronic Article"&gt;43&lt;/ref-type&gt;&lt;contributors&gt;&lt;authors&gt;&lt;author&gt;Forestry Commission,&lt;/author&gt;&lt;/authors&gt;&lt;/contributors&gt;&lt;titles&gt;&lt;title&gt;National Forest Inventory Woodland Area Statistics: Scotland &lt;/title&gt;&lt;tertiary-title&gt;www.forestry.gov.uk&lt;/tertiary-title&gt;&lt;/titles&gt;&lt;pages&gt;17&lt;/pages&gt;&lt;dates&gt;&lt;year&gt;2011&lt;/year&gt;&lt;pub-dates&gt;&lt;date&gt;11/10/2017&lt;/date&gt;&lt;/pub-dates&gt;&lt;/dates&gt;&lt;publisher&gt;Forestry Commission&lt;/publisher&gt;&lt;urls&gt;&lt;/urls&gt;&lt;/record&gt;&lt;/Cite&gt;&lt;/EndNote&gt;</w:instrText>
      </w:r>
      <w:r w:rsidR="00FF62A4">
        <w:fldChar w:fldCharType="separate"/>
      </w:r>
      <w:r w:rsidR="00FF62A4">
        <w:rPr>
          <w:noProof/>
        </w:rPr>
        <w:t>(Forestry Commission 2011)</w:t>
      </w:r>
      <w:r w:rsidR="00FF62A4">
        <w:fldChar w:fldCharType="end"/>
      </w:r>
      <w:r w:rsidR="0080662A">
        <w:t xml:space="preserve">. In 1995, Sitka spruce represented about the 45% of the whole conifers in Tayside, over one third of the whole forest cover of the region. </w:t>
      </w:r>
    </w:p>
    <w:p w:rsidR="00EB5A42" w:rsidRPr="00EB5A42" w:rsidRDefault="008C1DED" w:rsidP="00EB5A42">
      <w:r>
        <w:t>The Griffin Forest plantation was established in 1980-1981 over a</w:t>
      </w:r>
      <w:r w:rsidR="00193333">
        <w:t>n area classified as heather</w:t>
      </w:r>
      <w:r>
        <w:t xml:space="preserve"> </w:t>
      </w:r>
      <w:r w:rsidR="00193333">
        <w:t xml:space="preserve">moorland. </w:t>
      </w:r>
      <w:r w:rsidR="00E47992">
        <w:t>Before planting the trees heather (</w:t>
      </w:r>
      <w:proofErr w:type="spellStart"/>
      <w:r w:rsidR="00842E2E">
        <w:rPr>
          <w:i/>
        </w:rPr>
        <w:t>Calluna</w:t>
      </w:r>
      <w:proofErr w:type="spellEnd"/>
      <w:r w:rsidR="00842E2E">
        <w:rPr>
          <w:i/>
        </w:rPr>
        <w:t xml:space="preserve"> vulgaris </w:t>
      </w:r>
      <w:r w:rsidR="00842E2E" w:rsidRPr="00842E2E">
        <w:t>(L.) Hull</w:t>
      </w:r>
      <w:r w:rsidR="00E47992">
        <w:t xml:space="preserve">) was burnt and the ground was ploughed in depth, originating a surface characterised by 3 different features: ridge, furrow and </w:t>
      </w:r>
      <w:r w:rsidR="00697C16">
        <w:lastRenderedPageBreak/>
        <w:t>undisturbed soil;</w:t>
      </w:r>
      <w:r w:rsidR="00E47992">
        <w:t xml:space="preserve"> ridges</w:t>
      </w:r>
      <w:r w:rsidR="00415D6F">
        <w:t xml:space="preserve"> lay at 1.9 m from each other. Trees were planted at a distance of 1.9 m on the ridges, so that the total number of trees was of 2770 trees/ha </w:t>
      </w:r>
      <w:r w:rsidR="00415D6F">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415D6F">
        <w:instrText xml:space="preserve"> ADDIN EN.CITE </w:instrText>
      </w:r>
      <w:r w:rsidR="00415D6F">
        <w:fldChar w:fldCharType="begin">
          <w:fldData xml:space="preserve">PEVuZE5vdGU+PENpdGU+PEF1dGhvcj5DbGVtZW50PC9BdXRob3I+PFllYXI+MjAxMjwvWWVhcj48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</w:fldData>
        </w:fldChar>
      </w:r>
      <w:r w:rsidR="00415D6F">
        <w:instrText xml:space="preserve"> ADDIN EN.CITE.DATA </w:instrText>
      </w:r>
      <w:r w:rsidR="00415D6F">
        <w:fldChar w:fldCharType="end"/>
      </w:r>
      <w:r w:rsidR="00415D6F">
        <w:fldChar w:fldCharType="separate"/>
      </w:r>
      <w:r w:rsidR="00415D6F">
        <w:rPr>
          <w:noProof/>
        </w:rPr>
        <w:t>(Clement, Jarvis et al. 2012)</w:t>
      </w:r>
      <w:r w:rsidR="00415D6F">
        <w:fldChar w:fldCharType="end"/>
      </w:r>
      <w:r w:rsidR="00415D6F">
        <w:t xml:space="preserve">. </w:t>
      </w:r>
    </w:p>
    <w:p w:rsidR="00415D6F" w:rsidRDefault="00EB5A42" w:rsidP="00EB5A42">
      <w:r>
        <w:t xml:space="preserve">The about </w:t>
      </w:r>
      <w:r w:rsidR="00193333">
        <w:t>4</w:t>
      </w:r>
      <w:r>
        <w:t>,000 ha were planted a dominance (80%) of Sitka spruce (</w:t>
      </w:r>
      <w:proofErr w:type="spellStart"/>
      <w:r w:rsidRPr="00BA3C0D">
        <w:rPr>
          <w:i/>
        </w:rPr>
        <w:t>Picea</w:t>
      </w:r>
      <w:proofErr w:type="spellEnd"/>
      <w:r w:rsidRPr="00BA3C0D">
        <w:rPr>
          <w:i/>
        </w:rPr>
        <w:t xml:space="preserve"> </w:t>
      </w:r>
      <w:proofErr w:type="spellStart"/>
      <w:r w:rsidRPr="00BA3C0D">
        <w:rPr>
          <w:i/>
        </w:rPr>
        <w:t>sitchensis</w:t>
      </w:r>
      <w:proofErr w:type="spellEnd"/>
      <w:r>
        <w:t xml:space="preserve"> (</w:t>
      </w:r>
      <w:proofErr w:type="spellStart"/>
      <w:r>
        <w:t>Bongard</w:t>
      </w:r>
      <w:proofErr w:type="spellEnd"/>
      <w:r>
        <w:t>) Carriere 1855) and additional species such as Douglas fir (</w:t>
      </w:r>
      <w:proofErr w:type="spellStart"/>
      <w:r w:rsidRPr="00EF3F70">
        <w:rPr>
          <w:i/>
        </w:rPr>
        <w:fldChar w:fldCharType="begin"/>
      </w:r>
      <w:r w:rsidRPr="00EF3F70">
        <w:rPr>
          <w:i/>
        </w:rPr>
        <w:instrText xml:space="preserve"> HYPERLINK "https://en.wikipedia.org/wiki/Douglas_fir" \o "Douglas fir" </w:instrText>
      </w:r>
      <w:r w:rsidRPr="00EF3F70">
        <w:rPr>
          <w:i/>
        </w:rPr>
        <w:fldChar w:fldCharType="separate"/>
      </w:r>
      <w:r w:rsidRPr="00EF3F70">
        <w:rPr>
          <w:i/>
        </w:rPr>
        <w:t>Pseudotsuga</w:t>
      </w:r>
      <w:proofErr w:type="spellEnd"/>
      <w:r w:rsidRPr="00EF3F70">
        <w:rPr>
          <w:i/>
        </w:rPr>
        <w:t xml:space="preserve"> </w:t>
      </w:r>
      <w:proofErr w:type="spellStart"/>
      <w:r w:rsidRPr="00EF3F70">
        <w:rPr>
          <w:i/>
        </w:rPr>
        <w:t>menziesii</w:t>
      </w:r>
      <w:proofErr w:type="spellEnd"/>
      <w:r w:rsidRPr="00EF3F70">
        <w:rPr>
          <w:i/>
        </w:rPr>
        <w:fldChar w:fldCharType="end"/>
      </w:r>
      <w:r w:rsidRPr="007C6DF9">
        <w:t xml:space="preserve"> </w:t>
      </w:r>
      <w:r w:rsidRPr="00EF3F70">
        <w:t>(</w:t>
      </w:r>
      <w:proofErr w:type="spellStart"/>
      <w:r w:rsidRPr="00EF3F70">
        <w:fldChar w:fldCharType="begin"/>
      </w:r>
      <w:r w:rsidRPr="00EF3F70">
        <w:instrText xml:space="preserve"> HYPERLINK "https://en.wikipedia.org/wiki/Charles-Fran%C3%A7ois_Brisseau_de_Mirbel" \o "Charles-François Brisseau de Mirbel" </w:instrText>
      </w:r>
      <w:r w:rsidRPr="00EF3F70">
        <w:fldChar w:fldCharType="separate"/>
      </w:r>
      <w:r w:rsidRPr="00EF3F70">
        <w:t>Mirb</w:t>
      </w:r>
      <w:proofErr w:type="spellEnd"/>
      <w:r w:rsidRPr="00EF3F70">
        <w:t>.</w:t>
      </w:r>
      <w:r w:rsidRPr="00EF3F70">
        <w:fldChar w:fldCharType="end"/>
      </w:r>
      <w:r w:rsidRPr="00EF3F70">
        <w:t xml:space="preserve">) </w:t>
      </w:r>
      <w:hyperlink r:id="rId9" w:tooltip="João Manuel Antonio do Amaral Franco (page does not exist)" w:history="1">
        <w:r w:rsidRPr="00EF3F70">
          <w:t>Franco</w:t>
        </w:r>
      </w:hyperlink>
      <w:r>
        <w:t>), Japanese larch (</w:t>
      </w:r>
      <w:proofErr w:type="spellStart"/>
      <w:r w:rsidRPr="007C6DF9">
        <w:rPr>
          <w:i/>
          <w:iCs/>
        </w:rPr>
        <w:fldChar w:fldCharType="begin"/>
      </w:r>
      <w:r w:rsidRPr="007C6DF9">
        <w:rPr>
          <w:i/>
          <w:iCs/>
        </w:rPr>
        <w:instrText xml:space="preserve"> HYPERLINK "https://en.wikipedia.org/wiki/Larix_kaempferi" \o "Larix kaempferi" </w:instrText>
      </w:r>
      <w:r w:rsidRPr="007C6DF9">
        <w:rPr>
          <w:i/>
          <w:iCs/>
        </w:rPr>
        <w:fldChar w:fldCharType="separate"/>
      </w:r>
      <w:r w:rsidRPr="007C6DF9">
        <w:rPr>
          <w:rStyle w:val="Collegamentoipertestuale"/>
          <w:i/>
          <w:iCs/>
          <w:color w:val="auto"/>
        </w:rPr>
        <w:t>Larix</w:t>
      </w:r>
      <w:proofErr w:type="spellEnd"/>
      <w:r w:rsidRPr="007C6DF9">
        <w:rPr>
          <w:rStyle w:val="Collegamentoipertestuale"/>
          <w:i/>
          <w:iCs/>
          <w:color w:val="auto"/>
        </w:rPr>
        <w:t xml:space="preserve"> </w:t>
      </w:r>
      <w:proofErr w:type="spellStart"/>
      <w:r w:rsidRPr="007C6DF9">
        <w:rPr>
          <w:rStyle w:val="Collegamentoipertestuale"/>
          <w:i/>
          <w:iCs/>
          <w:color w:val="auto"/>
        </w:rPr>
        <w:t>kaempferi</w:t>
      </w:r>
      <w:proofErr w:type="spellEnd"/>
      <w:r w:rsidRPr="007C6DF9">
        <w:rPr>
          <w:i/>
          <w:iCs/>
        </w:rPr>
        <w:fldChar w:fldCharType="end"/>
      </w:r>
      <w:r w:rsidRPr="007C6DF9">
        <w:t xml:space="preserve"> </w:t>
      </w:r>
      <w:r>
        <w:t xml:space="preserve">(Lamb.) </w:t>
      </w:r>
      <w:proofErr w:type="spellStart"/>
      <w:r>
        <w:t>Carr</w:t>
      </w:r>
      <w:proofErr w:type="spellEnd"/>
      <w:r>
        <w:t>.), Scots pine (</w:t>
      </w:r>
      <w:r w:rsidRPr="00EF3F70">
        <w:rPr>
          <w:i/>
        </w:rPr>
        <w:t xml:space="preserve">Pinus </w:t>
      </w:r>
      <w:proofErr w:type="spellStart"/>
      <w:r w:rsidRPr="00EF3F70">
        <w:rPr>
          <w:i/>
        </w:rPr>
        <w:t>sylvestris</w:t>
      </w:r>
      <w:proofErr w:type="spellEnd"/>
      <w:r>
        <w:t xml:space="preserve"> L.) and downy birch (</w:t>
      </w:r>
      <w:proofErr w:type="spellStart"/>
      <w:r w:rsidRPr="00EF3F70">
        <w:rPr>
          <w:i/>
        </w:rPr>
        <w:t>Betula</w:t>
      </w:r>
      <w:proofErr w:type="spellEnd"/>
      <w:r w:rsidRPr="00EF3F70">
        <w:rPr>
          <w:i/>
        </w:rPr>
        <w:t xml:space="preserve"> </w:t>
      </w:r>
      <w:proofErr w:type="spellStart"/>
      <w:r w:rsidRPr="00EF3F70">
        <w:rPr>
          <w:i/>
        </w:rPr>
        <w:t>pubescens</w:t>
      </w:r>
      <w:proofErr w:type="spellEnd"/>
      <w:r>
        <w:t xml:space="preserve"> </w:t>
      </w:r>
      <w:proofErr w:type="spellStart"/>
      <w:r>
        <w:t>Ehrh</w:t>
      </w:r>
      <w:proofErr w:type="spellEnd"/>
      <w:r>
        <w:t xml:space="preserve">.). </w:t>
      </w:r>
    </w:p>
    <w:p w:rsidR="00467DB6" w:rsidRPr="00467DB6" w:rsidRDefault="00467DB6" w:rsidP="00EB5A42">
      <w:r w:rsidRPr="00467DB6">
        <w:t xml:space="preserve">Thinning was carried out in 2003/4 on the east side of the forest and </w:t>
      </w:r>
      <w:r>
        <w:t>2005 on the west side by removing every 5</w:t>
      </w:r>
      <w:r w:rsidRPr="00467DB6">
        <w:rPr>
          <w:vertAlign w:val="superscript"/>
        </w:rPr>
        <w:t>th</w:t>
      </w:r>
      <w:r>
        <w:t xml:space="preserve"> row and cutting every 3</w:t>
      </w:r>
      <w:r w:rsidRPr="00467DB6">
        <w:rPr>
          <w:vertAlign w:val="superscript"/>
        </w:rPr>
        <w:t>rd</w:t>
      </w:r>
      <w:r>
        <w:t xml:space="preserve"> tree on the two rows aside of the thinne</w:t>
      </w:r>
      <w:r w:rsidR="00DB76C3">
        <w:t xml:space="preserve">d row; one third </w:t>
      </w:r>
      <w:r>
        <w:t>of tree</w:t>
      </w:r>
      <w:r w:rsidR="00DB76C3">
        <w:t xml:space="preserve">s were removed, bringing the present density to </w:t>
      </w:r>
      <w:r w:rsidR="00415D6F">
        <w:t>about 1750</w:t>
      </w:r>
      <w:r w:rsidR="00DB76C3">
        <w:t xml:space="preserve"> trees per hectare.</w:t>
      </w:r>
    </w:p>
    <w:p w:rsidR="00EB5A42" w:rsidRDefault="00EB5A42" w:rsidP="00EB5A42">
      <w:r>
        <w:t xml:space="preserve">Topographic description (Clement paper, </w:t>
      </w:r>
      <w:proofErr w:type="spellStart"/>
      <w:r>
        <w:t>Ecocraft</w:t>
      </w:r>
      <w:proofErr w:type="spellEnd"/>
      <w:r>
        <w:t>).</w:t>
      </w:r>
    </w:p>
    <w:p w:rsidR="00EC1CFC" w:rsidRDefault="00EC1CFC" w:rsidP="00AF4434">
      <w:r>
        <w:t>Rationale of forest plantation: Jarvis jpg from carbon experiment.</w:t>
      </w:r>
    </w:p>
    <w:p w:rsidR="0091302D" w:rsidRDefault="0091302D" w:rsidP="0091302D">
      <w:r>
        <w:t>Soil description. Richard Nair plots.</w:t>
      </w:r>
    </w:p>
    <w:p w:rsidR="00976429" w:rsidRDefault="00B14AA4" w:rsidP="00976429">
      <w:pPr>
        <w:pStyle w:val="Titolo2"/>
      </w:pPr>
      <w:r>
        <w:t>Experimental design</w:t>
      </w:r>
    </w:p>
    <w:p w:rsidR="0091302D" w:rsidRDefault="0091302D" w:rsidP="0091302D">
      <w:r>
        <w:t>Separate description for each experiment here or to be restructured on an “experiment” base?</w:t>
      </w:r>
      <w:r w:rsidR="001C3DFD">
        <w:t xml:space="preserve"> </w:t>
      </w:r>
    </w:p>
    <w:p w:rsidR="001D6D4D" w:rsidRDefault="001D6D4D" w:rsidP="001D6D4D">
      <w:pPr>
        <w:pStyle w:val="Titolo3"/>
      </w:pPr>
      <w:r>
        <w:t>The plots</w:t>
      </w:r>
    </w:p>
    <w:p w:rsidR="008B61DD" w:rsidRDefault="008B61DD" w:rsidP="001D6D4D">
      <w:r>
        <w:t xml:space="preserve">The </w:t>
      </w:r>
      <w:proofErr w:type="spellStart"/>
      <w:r>
        <w:t>originary</w:t>
      </w:r>
      <w:proofErr w:type="spellEnd"/>
      <w:r>
        <w:t xml:space="preserve"> project aimed to compare two plots with similar features, </w:t>
      </w:r>
      <w:r w:rsidR="0077775C">
        <w:t xml:space="preserve">one of them set </w:t>
      </w:r>
      <w:r>
        <w:t>a</w:t>
      </w:r>
      <w:r w:rsidR="0077775C">
        <w:t>s</w:t>
      </w:r>
      <w:r>
        <w:t xml:space="preserve"> control plot (C) and a treatment plot </w:t>
      </w:r>
      <w:r w:rsidR="0077775C">
        <w:t xml:space="preserve">(T) </w:t>
      </w:r>
      <w:r>
        <w:t>where a solution containing 15N-labelled NH</w:t>
      </w:r>
      <w:r w:rsidRPr="008B61DD">
        <w:rPr>
          <w:vertAlign w:val="subscript"/>
        </w:rPr>
        <w:t>4</w:t>
      </w:r>
      <w:r>
        <w:t>NO</w:t>
      </w:r>
      <w:r w:rsidRPr="008B61DD">
        <w:rPr>
          <w:vertAlign w:val="subscript"/>
        </w:rPr>
        <w:t>3</w:t>
      </w:r>
      <w:r>
        <w:t xml:space="preserve"> had to be sprayed over the canopy, similarly to Gaige et al (2017) experiment. </w:t>
      </w:r>
      <w:r w:rsidR="0077775C">
        <w:t xml:space="preserve">Due to some </w:t>
      </w:r>
      <w:r w:rsidR="00415D6F">
        <w:t>constraints</w:t>
      </w:r>
      <w:r w:rsidR="0077775C">
        <w:t xml:space="preserve">, the idea of the treatment was abandoned and the two plots have become a replica. </w:t>
      </w:r>
      <w:r>
        <w:t xml:space="preserve">Within the Griffin forest, two plots have been set, </w:t>
      </w:r>
      <w:r w:rsidR="00FB27A3">
        <w:t xml:space="preserve">at a similar altitude and </w:t>
      </w:r>
      <w:r w:rsidR="0077775C">
        <w:t>orientation</w:t>
      </w:r>
      <w:r w:rsidR="00FB27A3">
        <w:t>.</w:t>
      </w:r>
    </w:p>
    <w:p w:rsidR="001D6D4D" w:rsidRDefault="001D6D4D" w:rsidP="001D6D4D">
      <w:pPr>
        <w:rPr>
          <w:bCs/>
        </w:rPr>
      </w:pPr>
      <w:r>
        <w:t>T pl</w:t>
      </w:r>
      <w:r w:rsidRPr="00EF3F70">
        <w:t>ot: 56</w:t>
      </w:r>
      <w:r w:rsidRPr="00EF3F70">
        <w:rPr>
          <w:bCs/>
        </w:rPr>
        <w:t>°36’</w:t>
      </w:r>
      <w:r>
        <w:rPr>
          <w:bCs/>
        </w:rPr>
        <w:t>22</w:t>
      </w:r>
      <w:r w:rsidRPr="00EF3F70">
        <w:rPr>
          <w:bCs/>
        </w:rPr>
        <w:t xml:space="preserve">’’ N, </w:t>
      </w:r>
      <w:r>
        <w:rPr>
          <w:bCs/>
        </w:rPr>
        <w:t>3</w:t>
      </w:r>
      <w:r>
        <w:rPr>
          <w:b/>
          <w:bCs/>
        </w:rPr>
        <w:t>°</w:t>
      </w:r>
      <w:r w:rsidRPr="00EF3F70">
        <w:rPr>
          <w:bCs/>
        </w:rPr>
        <w:t>47</w:t>
      </w:r>
      <w:r>
        <w:rPr>
          <w:bCs/>
        </w:rPr>
        <w:t>’41’’ W</w:t>
      </w:r>
    </w:p>
    <w:p w:rsidR="001D6D4D" w:rsidRPr="00EF3F70" w:rsidRDefault="001D6D4D" w:rsidP="001D6D4D">
      <w:r>
        <w:rPr>
          <w:bCs/>
        </w:rPr>
        <w:t xml:space="preserve">C plot: </w:t>
      </w:r>
      <w:r w:rsidRPr="00EF3F70">
        <w:t>56</w:t>
      </w:r>
      <w:r w:rsidRPr="00EF3F70">
        <w:rPr>
          <w:bCs/>
        </w:rPr>
        <w:t>°36’</w:t>
      </w:r>
      <w:r>
        <w:rPr>
          <w:bCs/>
        </w:rPr>
        <w:t>38</w:t>
      </w:r>
      <w:r w:rsidRPr="00EF3F70">
        <w:rPr>
          <w:bCs/>
        </w:rPr>
        <w:t xml:space="preserve">’’ N, </w:t>
      </w:r>
      <w:r>
        <w:rPr>
          <w:bCs/>
        </w:rPr>
        <w:t>3</w:t>
      </w:r>
      <w:r>
        <w:rPr>
          <w:b/>
          <w:bCs/>
        </w:rPr>
        <w:t>°</w:t>
      </w:r>
      <w:r w:rsidRPr="00EF3F70">
        <w:rPr>
          <w:bCs/>
        </w:rPr>
        <w:t>47</w:t>
      </w:r>
      <w:r>
        <w:rPr>
          <w:bCs/>
        </w:rPr>
        <w:t>’40’’ W</w:t>
      </w:r>
    </w:p>
    <w:p w:rsidR="001D6D4D" w:rsidRPr="001D6D4D" w:rsidRDefault="008B61DD" w:rsidP="001D6D4D">
      <w:r>
        <w:t>In each of the plot 3 s</w:t>
      </w:r>
      <w:r w:rsidR="001D6D4D">
        <w:t xml:space="preserve">ubplots </w:t>
      </w:r>
      <w:r>
        <w:t xml:space="preserve">were identified, each of these </w:t>
      </w:r>
      <w:r w:rsidR="00B14AA4">
        <w:t xml:space="preserve">covering similar </w:t>
      </w:r>
      <w:r>
        <w:t>feature</w:t>
      </w:r>
      <w:r w:rsidR="00B14AA4">
        <w:t>s</w:t>
      </w:r>
      <w:r>
        <w:t xml:space="preserve"> of fore</w:t>
      </w:r>
      <w:r w:rsidR="00B14AA4">
        <w:t xml:space="preserve">st cover. A storm in </w:t>
      </w:r>
      <w:r w:rsidR="00EA5EE5">
        <w:t>2014?</w:t>
      </w:r>
      <w:r w:rsidR="00B14AA4">
        <w:t xml:space="preserve"> caused a </w:t>
      </w:r>
      <w:r w:rsidR="00EA5EE5">
        <w:t>notable</w:t>
      </w:r>
      <w:r w:rsidR="00B14AA4">
        <w:t xml:space="preserve"> damage at the C site. As a result,</w:t>
      </w:r>
      <w:r w:rsidR="00EA5EE5">
        <w:t xml:space="preserve"> even if the installed collectors did not suffer damages,</w:t>
      </w:r>
      <w:r w:rsidR="00B37E62">
        <w:t xml:space="preserve"> the C plot </w:t>
      </w:r>
      <w:r w:rsidR="00EA5EE5">
        <w:t xml:space="preserve">forest cover is locally less dense and </w:t>
      </w:r>
      <w:r w:rsidR="00B37E62">
        <w:t>could show different soil and air temperature than the T plot, especially</w:t>
      </w:r>
      <w:r w:rsidR="00B14AA4">
        <w:t xml:space="preserve"> in the subplot</w:t>
      </w:r>
      <w:r w:rsidR="00B37E62">
        <w:t>s</w:t>
      </w:r>
      <w:r w:rsidR="00B14AA4">
        <w:t xml:space="preserve"> C10 and </w:t>
      </w:r>
      <w:r w:rsidR="00B37E62">
        <w:t>C11.</w:t>
      </w:r>
    </w:p>
    <w:p w:rsidR="00AF4434" w:rsidRDefault="0091302D" w:rsidP="0091302D">
      <w:pPr>
        <w:pStyle w:val="Titolo3"/>
      </w:pPr>
      <w:r>
        <w:t xml:space="preserve">Water and litter </w:t>
      </w:r>
      <w:r w:rsidRPr="00C07817">
        <w:t>samples</w:t>
      </w:r>
      <w:r>
        <w:t xml:space="preserve"> collection</w:t>
      </w:r>
    </w:p>
    <w:p w:rsidR="00026A75" w:rsidRDefault="0091302D" w:rsidP="0091302D">
      <w:r>
        <w:t>The core o</w:t>
      </w:r>
      <w:r w:rsidR="00F8654B">
        <w:t>f the experiment aimed</w:t>
      </w:r>
      <w:r w:rsidR="00B14AA4">
        <w:t>(s)</w:t>
      </w:r>
      <w:r w:rsidR="00F8654B">
        <w:t xml:space="preserve"> to compare the nitrogen input from the atmosphere to the nitrogen recovered below the canopy. </w:t>
      </w:r>
      <w:r w:rsidR="00026A75">
        <w:t>Two rainfall gauges, one “harp-</w:t>
      </w:r>
      <w:r w:rsidR="00B14AA4">
        <w:t xml:space="preserve">wire” fog collector </w:t>
      </w:r>
      <w:r w:rsidR="00B37E62">
        <w:t>(pictures?)</w:t>
      </w:r>
      <w:r w:rsidR="0077775C">
        <w:t>, 18</w:t>
      </w:r>
      <w:r w:rsidR="00B37E62">
        <w:t xml:space="preserve"> </w:t>
      </w:r>
      <w:proofErr w:type="spellStart"/>
      <w:r w:rsidR="00B14AA4">
        <w:t>throughfall</w:t>
      </w:r>
      <w:proofErr w:type="spellEnd"/>
      <w:r w:rsidR="00B14AA4">
        <w:t>/</w:t>
      </w:r>
      <w:r w:rsidR="00026A75">
        <w:t xml:space="preserve">litter and </w:t>
      </w:r>
      <w:r w:rsidR="0077775C">
        <w:t xml:space="preserve">22 </w:t>
      </w:r>
      <w:r w:rsidR="00026A75">
        <w:t xml:space="preserve">stemflow collectors and 4 streamflow flux and sample collection points were </w:t>
      </w:r>
      <w:r w:rsidR="0077775C">
        <w:t>set</w:t>
      </w:r>
      <w:r w:rsidR="00026A75">
        <w:t>.</w:t>
      </w:r>
      <w:r w:rsidR="00E361C9">
        <w:t xml:space="preserve"> </w:t>
      </w:r>
      <w:r w:rsidR="0077775C">
        <w:t>The sample collection started on October 2011 and ended on April 2017.</w:t>
      </w:r>
    </w:p>
    <w:p w:rsidR="0091302D" w:rsidRDefault="00026A75" w:rsidP="0091302D">
      <w:r w:rsidRPr="00427FB4">
        <w:rPr>
          <w:color w:val="1F4E79" w:themeColor="accent1" w:themeShade="80"/>
        </w:rPr>
        <w:t>Rainfall gauges</w:t>
      </w:r>
      <w:r>
        <w:t xml:space="preserve">. </w:t>
      </w:r>
      <w:r w:rsidR="00F8654B">
        <w:t>Two ra</w:t>
      </w:r>
      <w:r>
        <w:t>infall gauge</w:t>
      </w:r>
      <w:r w:rsidR="00F8654B">
        <w:t xml:space="preserve"> </w:t>
      </w:r>
      <w:r>
        <w:t>was</w:t>
      </w:r>
      <w:r w:rsidR="00F8654B">
        <w:t xml:space="preserve"> installed over the “T” plot (</w:t>
      </w:r>
      <w:r w:rsidR="001C3DFD" w:rsidRPr="001C3DFD">
        <w:t>56°35'59.8"N 3°47'21.5"W</w:t>
      </w:r>
      <w:r w:rsidR="001C3DFD">
        <w:t xml:space="preserve">, elevation: 440m) and </w:t>
      </w:r>
      <w:r>
        <w:t>a second one below</w:t>
      </w:r>
      <w:r w:rsidR="001C3DFD">
        <w:t xml:space="preserve"> the “C” plot (</w:t>
      </w:r>
      <w:r w:rsidR="001C3DFD" w:rsidRPr="001C3DFD">
        <w:t>56°37'11.0"N 3°48'21.6"W</w:t>
      </w:r>
      <w:r w:rsidR="00A46AC8">
        <w:t>,</w:t>
      </w:r>
      <w:r w:rsidR="001C3DFD">
        <w:t xml:space="preserve"> elevation: 286 m) </w:t>
      </w:r>
      <w:r w:rsidR="00A46AC8">
        <w:t>in two open areas</w:t>
      </w:r>
      <w:r w:rsidR="00B37E62">
        <w:t>, sufficiently</w:t>
      </w:r>
      <w:r w:rsidR="00A46AC8">
        <w:t xml:space="preserve"> </w:t>
      </w:r>
      <w:r>
        <w:t>far from the plantation</w:t>
      </w:r>
      <w:r w:rsidR="00B37E62">
        <w:t xml:space="preserve"> so </w:t>
      </w:r>
      <w:r w:rsidR="00A46AC8">
        <w:t>to minimise any turbulence due to the presence of high obstacles.</w:t>
      </w:r>
      <w:r w:rsidR="00923027">
        <w:t xml:space="preserve"> In the upper </w:t>
      </w:r>
      <w:r w:rsidR="00B37E62">
        <w:t xml:space="preserve">rain gauge station the “harp-wire” collector was installed at short distance from the rainfall gauge. </w:t>
      </w:r>
      <w:r w:rsidR="00153DA4">
        <w:t xml:space="preserve">In each of the bottles 2.5 ml (5 ml in the bigger bottle for the cloud water collection) of concentrated ortho-phosphoric acid was added as biocide agent. No biocide agent was used in the </w:t>
      </w:r>
      <w:proofErr w:type="spellStart"/>
      <w:r w:rsidR="00153DA4">
        <w:t>throughfall</w:t>
      </w:r>
      <w:proofErr w:type="spellEnd"/>
      <w:r w:rsidR="00153DA4">
        <w:t xml:space="preserve"> and stemflow collectors, due to the high volumes of sample collected and the need to discharge in situ most of the sample. </w:t>
      </w:r>
    </w:p>
    <w:p w:rsidR="00EA5EE5" w:rsidRDefault="00427FB4" w:rsidP="00EA5EE5">
      <w:r w:rsidRPr="00427FB4">
        <w:rPr>
          <w:color w:val="1F4E79" w:themeColor="accent1" w:themeShade="80"/>
        </w:rPr>
        <w:lastRenderedPageBreak/>
        <w:t>Throughfall collection</w:t>
      </w:r>
      <w:r>
        <w:rPr>
          <w:color w:val="1F4E79" w:themeColor="accent1" w:themeShade="80"/>
        </w:rPr>
        <w:t xml:space="preserve">. </w:t>
      </w:r>
      <w:r w:rsidRPr="00427FB4">
        <w:t xml:space="preserve">18 </w:t>
      </w:r>
      <w:r>
        <w:t>collection point</w:t>
      </w:r>
      <w:r w:rsidR="00B14AA4">
        <w:t>s</w:t>
      </w:r>
      <w:r>
        <w:t xml:space="preserve"> have been set, 9 per each plot, 3 per each subplot, representing different positions within the canopy (thinning lines, full density and intermediate) and different wind directions. Throughfall is collected through two inclined gutters of a fixed length (4.02 m) and width (0.234 m) collecting </w:t>
      </w:r>
      <w:proofErr w:type="spellStart"/>
      <w:r>
        <w:t>throughfall</w:t>
      </w:r>
      <w:proofErr w:type="spellEnd"/>
      <w:r>
        <w:t xml:space="preserve"> and draining it to a barrel. The barrel is covered but </w:t>
      </w:r>
      <w:r w:rsidR="00EB27EC">
        <w:t xml:space="preserve">lets the </w:t>
      </w:r>
      <w:proofErr w:type="spellStart"/>
      <w:r w:rsidR="00EB27EC">
        <w:t>throughfall</w:t>
      </w:r>
      <w:proofErr w:type="spellEnd"/>
      <w:r w:rsidR="00EB27EC">
        <w:t xml:space="preserve"> drain through</w:t>
      </w:r>
      <w:r>
        <w:t xml:space="preserve"> a central </w:t>
      </w:r>
      <w:r w:rsidR="00857C3B">
        <w:t>colander</w:t>
      </w:r>
      <w:r>
        <w:t xml:space="preserve"> (r=12,25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w:t>
      </w:r>
      <w:r w:rsidR="00B37E62">
        <w:t xml:space="preserve"> as close as possible from the centre of the barrel</w:t>
      </w:r>
      <w:r w:rsidR="00EB27EC">
        <w:t xml:space="preserve"> and turned into a volume through an algorithm formulated by testing </w:t>
      </w:r>
      <w:r w:rsidR="00B37E62">
        <w:t xml:space="preserve">in the labs </w:t>
      </w:r>
      <w:r w:rsidR="00EB27EC">
        <w:t xml:space="preserve">each </w:t>
      </w:r>
      <w:r w:rsidR="00B37E62">
        <w:t xml:space="preserve">of the 3 </w:t>
      </w:r>
      <w:r w:rsidR="00EB27EC">
        <w:t>barrel type</w:t>
      </w:r>
      <w:r w:rsidR="00B37E62">
        <w:t xml:space="preserve">s deployed in field (small, round and square barrels). This volume is then turned into mean </w:t>
      </w:r>
      <w:proofErr w:type="spellStart"/>
      <w:r w:rsidR="00B37E62">
        <w:t>throughfall</w:t>
      </w:r>
      <w:proofErr w:type="spellEnd"/>
      <w:r w:rsidR="00B37E62">
        <w:t xml:space="preserve"> deposition by dividing each water volume by the total surface projection of the gutters and the </w:t>
      </w:r>
      <w:r w:rsidR="00857C3B">
        <w:t>colander</w:t>
      </w:r>
      <w:r w:rsidR="00E361C9">
        <w:t>, as follows:</w:t>
      </w:r>
    </w:p>
    <w:p w:rsidR="00EA5EE5" w:rsidRPr="001F6AD7" w:rsidRDefault="00F442B8" w:rsidP="00EA5EE5">
      <m:oMathPara>
        <m:oMath>
          <m:sSub>
            <m:sSubPr>
              <m:ctrlPr>
                <w:rPr>
                  <w:rFonts w:ascii="Cambria Math" w:hAnsi="Cambria Math"/>
                  <w:i/>
                </w:rPr>
              </m:ctrlPr>
            </m:sSubPr>
            <m:e>
              <m:r>
                <w:rPr>
                  <w:rFonts w:ascii="Cambria Math" w:hAnsi="Cambria Math"/>
                </w:rPr>
                <m:t>TF</m:t>
              </m:r>
            </m:e>
            <m:sub>
              <m:r>
                <w:rPr>
                  <w:rFonts w:ascii="Cambria Math" w:hAnsi="Cambria Math"/>
                </w:rPr>
                <m:t>mean</m:t>
              </m:r>
            </m:sub>
          </m:sSub>
          <m:r>
            <w:rPr>
              <w:rFonts w:ascii="Cambria Math" w:hAnsi="Cambria Math"/>
            </w:rPr>
            <m:t>/ha=</m:t>
          </m:r>
          <m:d>
            <m:dPr>
              <m:ctrlPr>
                <w:rPr>
                  <w:rFonts w:ascii="Cambria Math" w:hAnsi="Cambria Math"/>
                  <w:i/>
                </w:rPr>
              </m:ctrlPr>
            </m:dPr>
            <m:e>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nary>
                </m:num>
                <m:den>
                  <m:r>
                    <w:rPr>
                      <w:rFonts w:ascii="Cambria Math" w:hAnsi="Cambria Math"/>
                    </w:rPr>
                    <m:t>n</m:t>
                  </m:r>
                </m:den>
              </m:f>
            </m:e>
          </m:d>
          <m:r>
            <w:rPr>
              <w:rFonts w:ascii="Cambria Math" w:hAnsi="Cambria Math"/>
            </w:rPr>
            <m:t>×10000</m:t>
          </m:r>
        </m:oMath>
      </m:oMathPara>
    </w:p>
    <w:p w:rsidR="00EA5EE5" w:rsidRDefault="00EA5EE5" w:rsidP="00EA5EE5">
      <w:r>
        <w:t xml:space="preserve">Where </w:t>
      </w:r>
    </w:p>
    <w:p w:rsidR="00EA5EE5" w:rsidRDefault="00EA5EE5" w:rsidP="00EA5EE5">
      <w:r>
        <w:rPr>
          <w:i/>
        </w:rPr>
        <w:t>n</w:t>
      </w:r>
      <w:r>
        <w:t xml:space="preserve"> = number of TF collectors</w:t>
      </w:r>
    </w:p>
    <w:p w:rsidR="00EA5EE5" w:rsidRDefault="00EA5EE5" w:rsidP="00EA5EE5">
      <w:r w:rsidRPr="00D33D1B">
        <w:rPr>
          <w:i/>
        </w:rPr>
        <w:t>V</w:t>
      </w:r>
      <w:r w:rsidRPr="00D33D1B">
        <w:rPr>
          <w:i/>
          <w:vertAlign w:val="subscript"/>
        </w:rPr>
        <w:t>i</w:t>
      </w:r>
      <w:r>
        <w:t xml:space="preserve"> = volume of the </w:t>
      </w:r>
      <w:proofErr w:type="spellStart"/>
      <w:r>
        <w:t>throughfall</w:t>
      </w:r>
      <w:proofErr w:type="spellEnd"/>
      <w:r>
        <w:t xml:space="preserve"> as calculated in the </w:t>
      </w:r>
      <w:proofErr w:type="spellStart"/>
      <w:r w:rsidRPr="00D33D1B">
        <w:rPr>
          <w:i/>
        </w:rPr>
        <w:t>i</w:t>
      </w:r>
      <w:proofErr w:type="spellEnd"/>
      <w:r>
        <w:t xml:space="preserve"> barrel calculated through the calibration formula </w:t>
      </w:r>
      <w:r w:rsidR="00857C3B">
        <w:t>specific of each barrel type</w:t>
      </w:r>
      <w:r>
        <w:t>;</w:t>
      </w:r>
    </w:p>
    <w:p w:rsidR="00EA5EE5" w:rsidRDefault="00F442B8" w:rsidP="00EA5EE5">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≅w*l*</m:t>
        </m:r>
        <m:func>
          <m:funcPr>
            <m:ctrlPr>
              <w:rPr>
                <w:rFonts w:ascii="Cambria Math" w:hAnsi="Cambria Math"/>
                <w:i/>
              </w:rPr>
            </m:ctrlPr>
          </m:funcPr>
          <m:fName>
            <m:r>
              <m:rPr>
                <m:sty m:val="p"/>
              </m:rPr>
              <w:rPr>
                <w:rFonts w:ascii="Cambria Math" w:hAnsi="Cambria Math"/>
              </w:rPr>
              <m:t>cos</m:t>
            </m:r>
          </m:fName>
          <m:e>
            <m:r>
              <w:rPr>
                <w:rFonts w:ascii="Cambria Math" w:hAnsi="Cambria Math"/>
              </w:rPr>
              <m:t>α*2+π</m:t>
            </m:r>
            <m:sSup>
              <m:sSupPr>
                <m:ctrlPr>
                  <w:rPr>
                    <w:rFonts w:ascii="Cambria Math" w:hAnsi="Cambria Math"/>
                    <w:i/>
                  </w:rPr>
                </m:ctrlPr>
              </m:sSupPr>
              <m:e>
                <m:r>
                  <w:rPr>
                    <w:rFonts w:ascii="Cambria Math" w:hAnsi="Cambria Math"/>
                  </w:rPr>
                  <m:t>r</m:t>
                </m:r>
              </m:e>
              <m:sup>
                <m:r>
                  <w:rPr>
                    <w:rFonts w:ascii="Cambria Math" w:hAnsi="Cambria Math"/>
                  </w:rPr>
                  <m:t>2</m:t>
                </m:r>
              </m:sup>
            </m:sSup>
          </m:e>
        </m:func>
      </m:oMath>
      <w:r w:rsidR="00EA5EE5">
        <w:t xml:space="preserve">, </w:t>
      </w:r>
    </w:p>
    <w:p w:rsidR="00EA5EE5" w:rsidRDefault="00EA5EE5" w:rsidP="00EA5EE5">
      <w:r w:rsidRPr="004D13E0">
        <w:rPr>
          <w:i/>
        </w:rPr>
        <w:t>w</w:t>
      </w:r>
      <w:r>
        <w:rPr>
          <w:i/>
        </w:rPr>
        <w:t xml:space="preserve"> </w:t>
      </w:r>
      <w:r>
        <w:t xml:space="preserve">= </w:t>
      </w:r>
      <w:proofErr w:type="spellStart"/>
      <w:r>
        <w:t>throughfall</w:t>
      </w:r>
      <w:proofErr w:type="spellEnd"/>
      <w:r>
        <w:t xml:space="preserve"> gutter width</w:t>
      </w:r>
    </w:p>
    <w:p w:rsidR="00857C3B" w:rsidRDefault="00EA5EE5" w:rsidP="00EA5EE5">
      <w:r w:rsidRPr="004D13E0">
        <w:rPr>
          <w:i/>
        </w:rPr>
        <w:t>l</w:t>
      </w:r>
      <w:r>
        <w:t xml:space="preserve"> = </w:t>
      </w:r>
      <w:proofErr w:type="spellStart"/>
      <w:r>
        <w:t>throughfall</w:t>
      </w:r>
      <w:proofErr w:type="spellEnd"/>
      <w:r>
        <w:t xml:space="preserve"> gutter length </w:t>
      </w:r>
    </w:p>
    <w:p w:rsidR="00EA5EE5" w:rsidRDefault="00EA5EE5" w:rsidP="00EA5EE5">
      <w:r w:rsidRPr="00D33D1B">
        <w:rPr>
          <w:i/>
        </w:rPr>
        <w:t>α</w:t>
      </w:r>
      <w:r>
        <w:t xml:space="preserve"> = gutter angle</w:t>
      </w:r>
    </w:p>
    <w:p w:rsidR="00EA5EE5" w:rsidRDefault="00EA5EE5" w:rsidP="00EA5EE5">
      <w:r w:rsidRPr="004D13E0">
        <w:rPr>
          <w:i/>
        </w:rPr>
        <w:t>r</w:t>
      </w:r>
      <w:r>
        <w:rPr>
          <w:i/>
        </w:rPr>
        <w:t xml:space="preserve"> </w:t>
      </w:r>
      <w:r>
        <w:t>= filtrating bowl radius</w:t>
      </w:r>
    </w:p>
    <w:p w:rsidR="001B0A09" w:rsidRPr="00846760" w:rsidRDefault="001B0A09" w:rsidP="00EA5EE5">
      <w:r w:rsidRPr="001B0A09">
        <w:rPr>
          <w:color w:val="1F4E79" w:themeColor="accent1" w:themeShade="80"/>
        </w:rPr>
        <w:t>Litter collection</w:t>
      </w:r>
      <w:r w:rsidR="00846760">
        <w:rPr>
          <w:color w:val="1F4E79" w:themeColor="accent1" w:themeShade="80"/>
        </w:rPr>
        <w:t xml:space="preserve">. </w:t>
      </w:r>
      <w:r w:rsidR="00846760">
        <w:t>Litter was collected from the gutters and colander of the 18 TF samplers. Each individual sample was oven dried at 70 °C until no changes in weight were observed. Each sample was weighed and stored in sealed bags.</w:t>
      </w:r>
    </w:p>
    <w:p w:rsidR="00E800C8" w:rsidRDefault="00EB27EC" w:rsidP="0091302D">
      <w:r>
        <w:rPr>
          <w:color w:val="1F4E79" w:themeColor="accent1" w:themeShade="80"/>
        </w:rPr>
        <w:t>Stemflow</w:t>
      </w:r>
      <w:r w:rsidRPr="00427FB4">
        <w:rPr>
          <w:color w:val="1F4E79" w:themeColor="accent1" w:themeShade="80"/>
        </w:rPr>
        <w:t xml:space="preserve"> </w:t>
      </w:r>
      <w:r w:rsidR="00E361C9">
        <w:rPr>
          <w:color w:val="1F4E79" w:themeColor="accent1" w:themeShade="80"/>
        </w:rPr>
        <w:t>samples</w:t>
      </w:r>
      <w:r>
        <w:rPr>
          <w:color w:val="1F4E79" w:themeColor="accent1" w:themeShade="80"/>
        </w:rPr>
        <w:t xml:space="preserve">. </w:t>
      </w:r>
      <w:r w:rsidR="00153DA4">
        <w:t xml:space="preserve">Kate doc. </w:t>
      </w:r>
      <w:r w:rsidR="0024096E">
        <w:t>The rationale of the sample distribution follows</w:t>
      </w:r>
      <w:r w:rsidR="00054781">
        <w:t xml:space="preserve"> the assumption that there is a linear relationship between (DBH)</w:t>
      </w:r>
      <w:r w:rsidR="00054781" w:rsidRPr="00054781">
        <w:rPr>
          <w:vertAlign w:val="superscript"/>
        </w:rPr>
        <w:t>2</w:t>
      </w:r>
      <w:r w:rsidR="00054781">
        <w:t xml:space="preserve"> and stemflow volume as found by </w:t>
      </w:r>
      <w:r w:rsidR="00054781">
        <w:fldChar w:fldCharType="begin">
          <w:fldData xml:space="preserve">PEVuZE5vdGU+PENpdGUgQXV0aG9yWWVhcj0iMSI+PEF1dGhvcj5IZWFsPC9BdXRob3I+PFllYXI+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</w:fldData>
        </w:fldChar>
      </w:r>
      <w:r w:rsidR="00054781">
        <w:instrText xml:space="preserve"> ADDIN EN.CITE </w:instrText>
      </w:r>
      <w:r w:rsidR="00054781">
        <w:fldChar w:fldCharType="begin">
          <w:fldData xml:space="preserve">PEVuZE5vdGU+PENpdGUgQXV0aG9yWWVhcj0iMSI+PEF1dGhvcj5IZWFsPC9BdXRob3I+PFllYXI+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</w:fldData>
        </w:fldChar>
      </w:r>
      <w:r w:rsidR="00054781">
        <w:instrText xml:space="preserve"> ADDIN EN.CITE.DATA </w:instrText>
      </w:r>
      <w:r w:rsidR="00054781">
        <w:fldChar w:fldCharType="end"/>
      </w:r>
      <w:r w:rsidR="00054781">
        <w:fldChar w:fldCharType="separate"/>
      </w:r>
      <w:r w:rsidR="00054781">
        <w:rPr>
          <w:noProof/>
        </w:rPr>
        <w:t>Heal, Stidson et al. (2004)</w:t>
      </w:r>
      <w:r w:rsidR="00054781">
        <w:fldChar w:fldCharType="end"/>
      </w:r>
      <w:r w:rsidR="0024096E">
        <w:t xml:space="preserve"> the information gathered through a DBH survey conducted in 2011 in both plots - updated in winter 2016</w:t>
      </w:r>
      <w:r w:rsidR="00054781">
        <w:t>*.</w:t>
      </w:r>
      <w:r w:rsidR="0024096E">
        <w:t xml:space="preserve"> The surveyed trees have been divided in 8 classes</w:t>
      </w:r>
      <w:r w:rsidR="00E800C8">
        <w:t xml:space="preserve">; 17stemflow samplers were deployed in </w:t>
      </w:r>
      <w:proofErr w:type="spellStart"/>
      <w:r w:rsidR="00E800C8">
        <w:t>unthinned</w:t>
      </w:r>
      <w:proofErr w:type="spellEnd"/>
      <w:r w:rsidR="00E800C8">
        <w:t xml:space="preserve"> rows, representative of each of the 8 classes. 5 more samplers were deployed with the aim of assessing the effect of thinning: 3 were attached to the north edge of a thinned row, whilst other 2 were deployed in an </w:t>
      </w:r>
      <w:proofErr w:type="spellStart"/>
      <w:r w:rsidR="00E800C8">
        <w:t>unthinned</w:t>
      </w:r>
      <w:proofErr w:type="spellEnd"/>
      <w:r w:rsidR="00E800C8">
        <w:t xml:space="preserve"> row nearby.</w:t>
      </w:r>
    </w:p>
    <w:p w:rsidR="00EB27EC" w:rsidRPr="00153DA4" w:rsidRDefault="00B8600B" w:rsidP="0091302D">
      <w:r>
        <w:t>The 22 trees selecte</w:t>
      </w:r>
      <w:r w:rsidR="00F23E43">
        <w:t>d represent this variability. 17</w:t>
      </w:r>
      <w:r>
        <w:t xml:space="preserve"> of them follow the distribution </w:t>
      </w:r>
      <w:r w:rsidR="00F23E43">
        <w:t xml:space="preserve">of the </w:t>
      </w:r>
      <w:proofErr w:type="spellStart"/>
      <w:r w:rsidR="00F23E43">
        <w:t>throughfall</w:t>
      </w:r>
      <w:proofErr w:type="spellEnd"/>
      <w:r w:rsidR="00F23E43">
        <w:t xml:space="preserve"> collectors. 5</w:t>
      </w:r>
      <w:r>
        <w:t xml:space="preserve"> extra collectors were deployed to better represent trees facing the thinning lines. </w:t>
      </w:r>
      <w:r w:rsidR="00F23E43">
        <w:t xml:space="preserve">The calculation of the volume collected is similar to what is done for the </w:t>
      </w:r>
      <w:proofErr w:type="spellStart"/>
      <w:r w:rsidR="00F23E43">
        <w:t>throughfall</w:t>
      </w:r>
      <w:proofErr w:type="spellEnd"/>
      <w:r w:rsidR="00F23E43">
        <w:t>. The depth of the water in the barrel is transformed in a volume, then the mean volume of the samplers of each of the 8 classes is calculated, and the mean value of the 8 classes is scaled to the hectare by multiplying it for the number of the trees (1750/ha).</w:t>
      </w:r>
    </w:p>
    <w:p w:rsidR="002511A7" w:rsidRPr="00427FB4" w:rsidRDefault="002511A7" w:rsidP="0091302D">
      <w:r w:rsidRPr="002511A7">
        <w:rPr>
          <w:color w:val="1F4E79" w:themeColor="accent1" w:themeShade="80"/>
        </w:rPr>
        <w:t xml:space="preserve">Streamflow </w:t>
      </w:r>
      <w:r w:rsidR="00E361C9">
        <w:rPr>
          <w:color w:val="1F4E79" w:themeColor="accent1" w:themeShade="80"/>
        </w:rPr>
        <w:t>samples</w:t>
      </w:r>
      <w:r w:rsidRPr="002511A7">
        <w:rPr>
          <w:color w:val="1F4E79" w:themeColor="accent1" w:themeShade="80"/>
        </w:rPr>
        <w:t>.</w:t>
      </w:r>
      <w:r>
        <w:t xml:space="preserve"> </w:t>
      </w:r>
      <w:r w:rsidR="00AA0B14">
        <w:t>4 triangular-notch thin-</w:t>
      </w:r>
      <w:r>
        <w:t>plate weir</w:t>
      </w:r>
      <w:r w:rsidR="00AA0B14">
        <w:t xml:space="preserve">s </w:t>
      </w:r>
      <w:r w:rsidR="00AA0B14">
        <w:fldChar w:fldCharType="begin"/>
      </w:r>
      <w:r w:rsidR="00AA0B14">
        <w:instrText xml:space="preserve"> ADDIN EN.CITE &lt;EndNote&gt;&lt;Cite&gt;&lt;Author&gt;British Standard&lt;/Author&gt;&lt;Year&gt;1981&lt;/Year&gt;&lt;RecNum&gt;67&lt;/RecNum&gt;&lt;DisplayText&gt;(British Standard 1981)&lt;/DisplayText&gt;&lt;record&gt;&lt;rec-number&gt;67&lt;/rec-number&gt;&lt;foreign-keys&gt;&lt;key app="EN" db-id="arwpz50tppf20qes0adx5aztet0w9xtartsd" timestamp="1507824784"&gt;67&lt;/key&gt;&lt;/foreign-keys&gt;&lt;ref-type name="Standard"&gt;58&lt;/ref-type&gt;&lt;contributors&gt;&lt;authors&gt;&lt;author&gt;British Standard,&lt;/author&gt;&lt;/authors&gt;&lt;/contributors&gt;&lt;titles&gt;&lt;title&gt;Methods of measurement of liquid flow in open channels. &lt;/title&gt;&lt;secondary-title&gt;Method using thin-plate weirs &lt;/secondary-title&gt;&lt;/titles&gt;&lt;pages&gt;39&lt;/pages&gt;&lt;dates&gt;&lt;year&gt;1981&lt;/year&gt;&lt;/dates&gt;&lt;isbn&gt;BS 3680-4A: 1981&lt;/isbn&gt;&lt;urls&gt;&lt;/urls&gt;&lt;/record&gt;&lt;/Cite&gt;&lt;/EndNote&gt;</w:instrText>
      </w:r>
      <w:r w:rsidR="00AA0B14">
        <w:fldChar w:fldCharType="separate"/>
      </w:r>
      <w:r w:rsidR="00AA0B14">
        <w:rPr>
          <w:noProof/>
        </w:rPr>
        <w:t>(British Standard 1981)</w:t>
      </w:r>
      <w:r w:rsidR="00AA0B14">
        <w:fldChar w:fldCharType="end"/>
      </w:r>
      <w:r>
        <w:t xml:space="preserve"> </w:t>
      </w:r>
      <w:r w:rsidR="00AA0B14">
        <w:t xml:space="preserve">were installed in Griffin, two in each plot. In the T plot one of them is up the plot and the second one collects the </w:t>
      </w:r>
      <w:r w:rsidR="00AA0B14">
        <w:lastRenderedPageBreak/>
        <w:t xml:space="preserve">water outflow from the plot. This allows to calculate a net balance of the N leached by the plot. Although </w:t>
      </w:r>
      <w:r w:rsidR="008805CB">
        <w:t xml:space="preserve">each weir was equipped with a *** sensor and a *** </w:t>
      </w:r>
      <w:proofErr w:type="gramStart"/>
      <w:r w:rsidR="008805CB">
        <w:t>in order to</w:t>
      </w:r>
      <w:proofErr w:type="gramEnd"/>
      <w:r w:rsidR="008805CB">
        <w:t xml:space="preserve"> have a continuous</w:t>
      </w:r>
      <w:r w:rsidR="00AA0B14">
        <w:t xml:space="preserve"> measurement (check Rob maybe? Or Thesis), eventually the available data, instant discharge and N concentration, come from the monthly collection. This shows obviously a limitation to properly build up a hydrological balance but allows at least to have an information of the N leaching from the plots in different times of the year.</w:t>
      </w:r>
    </w:p>
    <w:p w:rsidR="00E361C9" w:rsidRDefault="00E361C9" w:rsidP="0091302D">
      <w:pPr>
        <w:rPr>
          <w:color w:val="1F4E79" w:themeColor="accent1" w:themeShade="80"/>
        </w:rPr>
      </w:pPr>
      <w:r w:rsidRPr="00E361C9">
        <w:rPr>
          <w:color w:val="1F4E79" w:themeColor="accent1" w:themeShade="80"/>
        </w:rPr>
        <w:t>Water sample processing after collection</w:t>
      </w:r>
    </w:p>
    <w:p w:rsidR="00E361C9" w:rsidRPr="00E361C9" w:rsidRDefault="00E361C9" w:rsidP="0091302D">
      <w:r>
        <w:t xml:space="preserve">Samples were stored at 4 °C in the labs until the filtration, usually not more than 24 hours after the collection. </w:t>
      </w:r>
      <w:r w:rsidR="00C930D2">
        <w:t xml:space="preserve">Per each sample bottle (250 ml, 1 l for the </w:t>
      </w:r>
      <w:proofErr w:type="spellStart"/>
      <w:r w:rsidR="00C930D2">
        <w:t>streamwater</w:t>
      </w:r>
      <w:proofErr w:type="spellEnd"/>
      <w:r w:rsidR="00C930D2">
        <w:t xml:space="preserve">) for </w:t>
      </w:r>
      <w:r>
        <w:t xml:space="preserve">30 ml </w:t>
      </w:r>
      <w:r w:rsidR="00C930D2">
        <w:t>of each sample were</w:t>
      </w:r>
      <w:r>
        <w:t xml:space="preserve"> </w:t>
      </w:r>
      <w:r w:rsidR="009F29B6">
        <w:t>withdrawn</w:t>
      </w:r>
      <w:r>
        <w:t xml:space="preserve"> from each Nalgene bottle with a 60ml syringe </w:t>
      </w:r>
      <w:r w:rsidR="009F29B6">
        <w:t xml:space="preserve">after rinsing it </w:t>
      </w:r>
      <w:r>
        <w:t>3 times with</w:t>
      </w:r>
      <w:r w:rsidR="009A516F">
        <w:t xml:space="preserve"> </w:t>
      </w:r>
      <w:r w:rsidR="00E95C7E">
        <w:t>the same amount of sample. * Sam</w:t>
      </w:r>
      <w:r w:rsidR="009F29B6">
        <w:t xml:space="preserve">ple filtered through </w:t>
      </w:r>
      <w:proofErr w:type="spellStart"/>
      <w:r w:rsidR="009F29B6">
        <w:t>nome</w:t>
      </w:r>
      <w:proofErr w:type="spellEnd"/>
      <w:r w:rsidR="009F29B6">
        <w:t xml:space="preserve"> </w:t>
      </w:r>
      <w:proofErr w:type="spellStart"/>
      <w:r w:rsidR="009F29B6">
        <w:t>prodotto</w:t>
      </w:r>
      <w:proofErr w:type="spellEnd"/>
      <w:r w:rsidR="009F29B6">
        <w:t xml:space="preserve"> e </w:t>
      </w:r>
      <w:proofErr w:type="spellStart"/>
      <w:r w:rsidR="009F29B6">
        <w:t>messo</w:t>
      </w:r>
      <w:proofErr w:type="spellEnd"/>
      <w:r w:rsidR="009F29B6">
        <w:t xml:space="preserve"> in 25ml </w:t>
      </w:r>
      <w:proofErr w:type="spellStart"/>
      <w:r w:rsidR="009F29B6">
        <w:t>sbroz</w:t>
      </w:r>
      <w:proofErr w:type="spellEnd"/>
      <w:r w:rsidR="009F29B6">
        <w:t xml:space="preserve">, stored at 4 °C until it gets analysed. </w:t>
      </w:r>
      <w:r w:rsidR="00922576">
        <w:t xml:space="preserve">Colorimetric analysis was performed at the University of Edinburgh laboratories to find*** </w:t>
      </w:r>
      <w:r w:rsidR="0025121D">
        <w:t>NH</w:t>
      </w:r>
      <w:r w:rsidR="0025121D" w:rsidRPr="0025121D">
        <w:rPr>
          <w:vertAlign w:val="subscript"/>
        </w:rPr>
        <w:t>4</w:t>
      </w:r>
      <w:r w:rsidR="0025121D" w:rsidRPr="0025121D">
        <w:rPr>
          <w:vertAlign w:val="superscript"/>
        </w:rPr>
        <w:t>+</w:t>
      </w:r>
      <w:r w:rsidR="009F29B6">
        <w:t>and NO</w:t>
      </w:r>
      <w:r w:rsidR="009F29B6" w:rsidRPr="009F29B6">
        <w:rPr>
          <w:vertAlign w:val="subscript"/>
        </w:rPr>
        <w:t>3</w:t>
      </w:r>
      <w:r w:rsidR="00922576">
        <w:t xml:space="preserve"> concentrations</w:t>
      </w:r>
    </w:p>
    <w:p w:rsidR="00AF4434" w:rsidRDefault="00AF4434" w:rsidP="00C07817">
      <w:pPr>
        <w:pStyle w:val="Titolo3"/>
      </w:pPr>
      <w:r>
        <w:t>Experiment “</w:t>
      </w:r>
      <w:r w:rsidRPr="00271F5E">
        <w:rPr>
          <w:vertAlign w:val="superscript"/>
        </w:rPr>
        <w:t>15</w:t>
      </w:r>
      <w:r>
        <w:t>N-labelled simulated Ndep”</w:t>
      </w:r>
    </w:p>
    <w:p w:rsidR="00C07817" w:rsidRDefault="008805CB" w:rsidP="00C07817">
      <w:r>
        <w:t xml:space="preserve">This </w:t>
      </w:r>
      <w:r w:rsidR="006353F5">
        <w:t xml:space="preserve">experiment </w:t>
      </w:r>
      <w:r w:rsidR="00271F5E">
        <w:t>aims to</w:t>
      </w:r>
      <w:r w:rsidR="006353F5">
        <w:t xml:space="preserve"> </w:t>
      </w:r>
      <w:r w:rsidR="00271F5E">
        <w:t>confirm or reject</w:t>
      </w:r>
      <w:r w:rsidR="006353F5">
        <w:t xml:space="preserve"> the outcomes from the 5 years data collection by simulating N</w:t>
      </w:r>
      <w:r w:rsidR="006353F5" w:rsidRPr="006353F5">
        <w:rPr>
          <w:vertAlign w:val="subscript"/>
        </w:rPr>
        <w:t>dep</w:t>
      </w:r>
      <w:r w:rsidR="006353F5">
        <w:t xml:space="preserve"> by using </w:t>
      </w:r>
      <w:r w:rsidR="006353F5" w:rsidRPr="006353F5">
        <w:rPr>
          <w:vertAlign w:val="superscript"/>
        </w:rPr>
        <w:t>15</w:t>
      </w:r>
      <w:r w:rsidR="006353F5">
        <w:t xml:space="preserve">N as a label and calculating the total recovery of the applied </w:t>
      </w:r>
      <w:r w:rsidR="006353F5" w:rsidRPr="008805CB">
        <w:rPr>
          <w:vertAlign w:val="superscript"/>
        </w:rPr>
        <w:t>15</w:t>
      </w:r>
      <w:r w:rsidR="006353F5">
        <w:t xml:space="preserve">N in </w:t>
      </w:r>
      <w:proofErr w:type="spellStart"/>
      <w:r w:rsidR="006353F5">
        <w:t>throughfall</w:t>
      </w:r>
      <w:proofErr w:type="spellEnd"/>
      <w:r w:rsidR="006353F5">
        <w:t xml:space="preserve"> and stemflow. </w:t>
      </w:r>
      <w:r>
        <w:t>3</w:t>
      </w:r>
      <w:r w:rsidR="00C07817">
        <w:t xml:space="preserve"> Sitka spruce trees </w:t>
      </w:r>
      <w:r w:rsidR="001546DB">
        <w:t xml:space="preserve">have been selected around the existing eddy covariance tower in the T plot so the be easily reachable with an extension lance (maximum length = 5.4 m) and were sprayed </w:t>
      </w:r>
      <w:r w:rsidR="006353F5">
        <w:t xml:space="preserve">in two occasions (**dates) </w:t>
      </w:r>
      <w:r w:rsidR="001546DB">
        <w:t xml:space="preserve">with a </w:t>
      </w:r>
      <w:r w:rsidR="001546DB" w:rsidRPr="0025121D">
        <w:rPr>
          <w:vertAlign w:val="superscript"/>
        </w:rPr>
        <w:t>15</w:t>
      </w:r>
      <w:r w:rsidR="001546DB">
        <w:t>N-labelled enriched NH</w:t>
      </w:r>
      <w:r w:rsidR="001546DB" w:rsidRPr="001546DB">
        <w:rPr>
          <w:vertAlign w:val="subscript"/>
        </w:rPr>
        <w:t>4</w:t>
      </w:r>
      <w:r w:rsidR="001546DB">
        <w:t>NO</w:t>
      </w:r>
      <w:r w:rsidR="001546DB" w:rsidRPr="001546DB">
        <w:rPr>
          <w:vertAlign w:val="subscript"/>
        </w:rPr>
        <w:t>3</w:t>
      </w:r>
      <w:r w:rsidR="001546DB">
        <w:t xml:space="preserve"> solution (</w:t>
      </w:r>
      <w:r w:rsidR="001546DB">
        <w:rPr>
          <w:rFonts w:cstheme="minorHAnsi"/>
        </w:rPr>
        <w:t>δ</w:t>
      </w:r>
      <w:r w:rsidR="001546DB" w:rsidRPr="001546DB">
        <w:rPr>
          <w:vertAlign w:val="superscript"/>
        </w:rPr>
        <w:t>15</w:t>
      </w:r>
      <w:r w:rsidR="001546DB">
        <w:t>N = +1000) by applying it over the</w:t>
      </w:r>
      <w:r w:rsidR="00E5078B">
        <w:t xml:space="preserve"> tree crown. Under each spruce o</w:t>
      </w:r>
      <w:r w:rsidR="001546DB">
        <w:t xml:space="preserve">ne stemflow and four </w:t>
      </w:r>
      <w:proofErr w:type="spellStart"/>
      <w:r w:rsidR="001546DB">
        <w:t>throughfall</w:t>
      </w:r>
      <w:proofErr w:type="spellEnd"/>
      <w:r w:rsidR="001546DB">
        <w:t xml:space="preserve"> collectors were placed so to cover approximately 1/5 of the crown projection. </w:t>
      </w:r>
      <w:r w:rsidR="00AA64A0">
        <w:t xml:space="preserve">Similarly to the existing experiment, the depth of the water in each barrel was measured and a sample of at least 5 </w:t>
      </w:r>
      <w:proofErr w:type="spellStart"/>
      <w:r w:rsidR="00AA64A0">
        <w:t>liters</w:t>
      </w:r>
      <w:proofErr w:type="spellEnd"/>
      <w:r w:rsidR="00AA64A0">
        <w:t xml:space="preserve"> (when available) of </w:t>
      </w:r>
      <w:proofErr w:type="spellStart"/>
      <w:r w:rsidR="00AA64A0">
        <w:t>throughfall</w:t>
      </w:r>
      <w:proofErr w:type="spellEnd"/>
      <w:r w:rsidR="00AA64A0">
        <w:t xml:space="preserve"> and stemflow were withdrawn. When the volume of the sample exceeded the volume of the sampling </w:t>
      </w:r>
      <w:r w:rsidR="00FC63AE">
        <w:t xml:space="preserve">5 to 10 </w:t>
      </w:r>
      <w:proofErr w:type="spellStart"/>
      <w:r w:rsidR="00FC63AE">
        <w:t>liters</w:t>
      </w:r>
      <w:proofErr w:type="spellEnd"/>
      <w:r w:rsidR="00FC63AE">
        <w:t xml:space="preserve"> of sample were obtained by blending the 4 subsamples proportionally to the length of the water in each barrel. </w:t>
      </w:r>
      <w:r w:rsidR="00A30695">
        <w:t xml:space="preserve">All samples were kept at room temperature for less </w:t>
      </w:r>
      <w:r w:rsidR="00A30695">
        <w:t>than</w:t>
      </w:r>
      <w:r w:rsidR="00A30695">
        <w:t xml:space="preserve"> 24 hours</w:t>
      </w:r>
      <w:r w:rsidR="00A30695">
        <w:t xml:space="preserve"> since their collection</w:t>
      </w:r>
      <w:r w:rsidR="00A30695">
        <w:t>, then kept at 4 °C until the results from the colorimetric analysis were available.</w:t>
      </w:r>
      <w:r w:rsidR="00A30695">
        <w:t xml:space="preserve"> </w:t>
      </w:r>
      <w:r w:rsidR="00FC63AE">
        <w:t xml:space="preserve">In the labs 20ml of samples were filtered and analysed through colorimetric analysis to measure the concentrations of </w:t>
      </w:r>
      <w:r w:rsidR="0025121D">
        <w:t>NH</w:t>
      </w:r>
      <w:r w:rsidR="0025121D" w:rsidRPr="0025121D">
        <w:rPr>
          <w:vertAlign w:val="subscript"/>
        </w:rPr>
        <w:t>4</w:t>
      </w:r>
      <w:r w:rsidR="0025121D" w:rsidRPr="0025121D">
        <w:rPr>
          <w:vertAlign w:val="superscript"/>
        </w:rPr>
        <w:t>+</w:t>
      </w:r>
      <w:r w:rsidR="0025121D">
        <w:t xml:space="preserve"> </w:t>
      </w:r>
      <w:r w:rsidR="00FC63AE">
        <w:t xml:space="preserve">and </w:t>
      </w:r>
      <w:r w:rsidR="0025121D">
        <w:t>NO</w:t>
      </w:r>
      <w:r w:rsidR="0025121D" w:rsidRPr="0025121D">
        <w:rPr>
          <w:vertAlign w:val="subscript"/>
        </w:rPr>
        <w:t>3</w:t>
      </w:r>
      <w:r w:rsidR="0025121D">
        <w:rPr>
          <w:vertAlign w:val="superscript"/>
        </w:rPr>
        <w:t>-</w:t>
      </w:r>
      <w:r w:rsidR="00FC63AE">
        <w:t xml:space="preserve">, then enough sample was used to obtain 50-150 </w:t>
      </w:r>
      <w:r w:rsidR="00FC63AE">
        <w:rPr>
          <w:rFonts w:cstheme="minorHAnsi"/>
        </w:rPr>
        <w:t>µ</w:t>
      </w:r>
      <w:r w:rsidR="00FC63AE">
        <w:t>g of NH</w:t>
      </w:r>
      <w:r w:rsidR="00FC63AE" w:rsidRPr="0025121D">
        <w:rPr>
          <w:vertAlign w:val="subscript"/>
        </w:rPr>
        <w:t>4</w:t>
      </w:r>
      <w:r w:rsidR="00FC63AE">
        <w:t xml:space="preserve">-N through the ammonia diffusion </w:t>
      </w:r>
      <w:r w:rsidR="0025121D">
        <w:t>method</w:t>
      </w:r>
      <w:r w:rsidR="00FC63AE">
        <w:t xml:space="preserve"> </w:t>
      </w:r>
      <w:r w:rsidR="00271F5E">
        <w:fldChar w:fldCharType="begin"/>
      </w:r>
      <w:r w:rsidR="00271F5E" w:rsidRPr="00271F5E">
        <w:instrText xml:space="preserve"> ADDIN EN.CITE &lt;EndNote&gt;&lt;Cite&gt;&lt;Author&gt;Sebilo&lt;/Author&gt;&lt;Year&gt;2004&lt;/Year&gt;&lt;RecNum&gt;59&lt;/RecNum&gt;&lt;DisplayText&gt;(Sebilo, Mayer et al. 2004)&lt;/DisplayText&gt;&lt;record&gt;&lt;rec-number&gt;59&lt;/rec-number&gt;&lt;foreign-keys&gt;&lt;key app="EN" db-id="arwpz50tppf20qes0adx5aztet0w9xtartsd" timestamp="1491421501"&gt;59&lt;/key&gt;&lt;/foreign-keys&gt;&lt;ref-type name="Journal Article"&gt;17&lt;/ref-type&gt;&lt;contributors&gt;&lt;authors&gt;&lt;author&gt;Sebilo, M.&lt;/author&gt;&lt;author&gt;Mayer, B.&lt;/author&gt;&lt;author&gt;Grably, M.&lt;/author&gt;&lt;author&gt;Billiou, D.&lt;/author&gt;&lt;author&gt;Mariotti, A.&lt;/author&gt;&lt;/authors&gt;&lt;/contributors&gt;&lt;auth-address&gt;Univ Paris 06, CNRS, UMR BIOMCO, INRA, F-75252 Paris 05, France&amp;#xD;Univ Calgary, Dept Geol &amp;amp; Geophys, Calgary, AB T2N 1N4, Canada&lt;/auth-address&gt;&lt;titles&gt;&lt;title&gt;The Use of the &amp;apos;Ammonium Diffusion&amp;apos; Method for delta(15)N-NH(4)(+) and delta(15)N-NO(3)(-) Measurements: Comparison with Other Techniques&lt;/title&gt;&lt;secondary-title&gt;Environmental Chemistry&lt;/secondary-title&gt;&lt;alt-title&gt;Environ Chem&lt;/alt-title&gt;&lt;/titles&gt;&lt;periodical&gt;&lt;full-title&gt;Environmental Chemistry&lt;/full-title&gt;&lt;abbr-1&gt;Environ Chem&lt;/abbr-1&gt;&lt;/periodical&gt;&lt;alt-periodical&gt;&lt;full-title&gt;Environmental Chemistry&lt;/full-title&gt;&lt;abbr-1&gt;Environ Chem&lt;/abbr-1&gt;&lt;/alt-periodical&gt;&lt;pages&gt;99-103&lt;/pages&gt;&lt;volume&gt;1&lt;/volume&gt;&lt;number&gt;2&lt;/number&gt;&lt;keywords&gt;&lt;keyword&gt;analysis&lt;/keyword&gt;&lt;keyword&gt;nitrogen&lt;/keyword&gt;&lt;keyword&gt;ms&lt;/keyword&gt;&lt;keyword&gt;speciation&lt;/keyword&gt;&lt;/keywords&gt;&lt;dates&gt;&lt;year&gt;2004&lt;/year&gt;&lt;/dates&gt;&lt;isbn&gt;1448-2517&lt;/isbn&gt;&lt;accession-num&gt;WOS:000207050500007&lt;/accession-num&gt;&lt;urls&gt;&lt;related-urls&gt;&lt;url&gt;&amp;lt;Go to ISI&amp;gt;://WOS:000207050500007&lt;/url&gt;&lt;/related-urls&gt;&lt;/urls&gt;&lt;electronic-resource-num&gt;10.1071/EN04037&lt;/electronic-resource-num&gt;&lt;language&gt;English&lt;/language&gt;&lt;/record&gt;&lt;/Cite&gt;&lt;/EndNote&gt;</w:instrText>
      </w:r>
      <w:r w:rsidR="00271F5E">
        <w:fldChar w:fldCharType="separate"/>
      </w:r>
      <w:r w:rsidR="00271F5E" w:rsidRPr="00271F5E">
        <w:rPr>
          <w:noProof/>
        </w:rPr>
        <w:t>(Sebilo, Mayer et al. 2004)</w:t>
      </w:r>
      <w:r w:rsidR="00271F5E">
        <w:fldChar w:fldCharType="end"/>
      </w:r>
      <w:r w:rsidR="00271F5E">
        <w:t xml:space="preserve">. </w:t>
      </w:r>
      <w:r w:rsidR="0025121D">
        <w:t>Adjustment of t</w:t>
      </w:r>
      <w:r w:rsidR="00FC63AE">
        <w:t xml:space="preserve">he procedure in the paper </w:t>
      </w:r>
      <w:r w:rsidR="0025121D">
        <w:t xml:space="preserve">were necessary </w:t>
      </w:r>
      <w:r w:rsidR="00FC63AE">
        <w:t xml:space="preserve">so to treat up to 1 litre of sample, due to the low concentration of dissolved nitrogen in the </w:t>
      </w:r>
      <w:proofErr w:type="spellStart"/>
      <w:r w:rsidR="00FC63AE">
        <w:t>throughfall</w:t>
      </w:r>
      <w:proofErr w:type="spellEnd"/>
      <w:r w:rsidR="00FC63AE">
        <w:t xml:space="preserve"> and stemflow </w:t>
      </w:r>
      <w:r w:rsidR="00FC63AE">
        <w:t>at natural abundance</w:t>
      </w:r>
      <w:r w:rsidR="00FC63AE">
        <w:t xml:space="preserve">. With this technique, all </w:t>
      </w:r>
      <w:r w:rsidR="0025121D">
        <w:t>NH</w:t>
      </w:r>
      <w:r w:rsidR="0025121D" w:rsidRPr="0025121D">
        <w:rPr>
          <w:vertAlign w:val="subscript"/>
        </w:rPr>
        <w:t>4</w:t>
      </w:r>
      <w:r w:rsidR="0025121D" w:rsidRPr="0025121D">
        <w:rPr>
          <w:vertAlign w:val="superscript"/>
        </w:rPr>
        <w:t>+</w:t>
      </w:r>
      <w:r w:rsidR="00FC63AE">
        <w:t xml:space="preserve">and </w:t>
      </w:r>
      <w:r w:rsidR="0025121D">
        <w:t>NO</w:t>
      </w:r>
      <w:r w:rsidR="0025121D" w:rsidRPr="0025121D">
        <w:rPr>
          <w:vertAlign w:val="subscript"/>
        </w:rPr>
        <w:t>3</w:t>
      </w:r>
      <w:r w:rsidR="0025121D">
        <w:rPr>
          <w:vertAlign w:val="superscript"/>
        </w:rPr>
        <w:t>-</w:t>
      </w:r>
      <w:r w:rsidR="0025121D">
        <w:rPr>
          <w:vertAlign w:val="superscript"/>
        </w:rPr>
        <w:t xml:space="preserve"> </w:t>
      </w:r>
      <w:r w:rsidR="00FC63AE">
        <w:t>are converted into NH</w:t>
      </w:r>
      <w:r w:rsidR="00FC63AE" w:rsidRPr="0025121D">
        <w:rPr>
          <w:vertAlign w:val="subscript"/>
        </w:rPr>
        <w:t>3</w:t>
      </w:r>
      <w:r w:rsidR="00FC63AE">
        <w:t xml:space="preserve"> (gas) by means of pH adjustment</w:t>
      </w:r>
      <w:r w:rsidR="0025121D">
        <w:t xml:space="preserve"> (</w:t>
      </w:r>
      <w:r w:rsidR="00FC63AE">
        <w:t>and reduction (NO</w:t>
      </w:r>
      <w:r w:rsidR="00FC63AE" w:rsidRPr="0025121D">
        <w:rPr>
          <w:vertAlign w:val="subscript"/>
        </w:rPr>
        <w:t>3</w:t>
      </w:r>
      <w:r w:rsidR="0025121D">
        <w:rPr>
          <w:vertAlign w:val="superscript"/>
        </w:rPr>
        <w:t>-</w:t>
      </w:r>
      <w:r w:rsidR="00FC63AE">
        <w:t xml:space="preserve"> to NH</w:t>
      </w:r>
      <w:r w:rsidR="00FC63AE" w:rsidRPr="0025121D">
        <w:rPr>
          <w:vertAlign w:val="subscript"/>
        </w:rPr>
        <w:t>4</w:t>
      </w:r>
      <w:r w:rsidR="00FC63AE" w:rsidRPr="0025121D">
        <w:rPr>
          <w:vertAlign w:val="superscript"/>
        </w:rPr>
        <w:t>+</w:t>
      </w:r>
      <w:r w:rsidR="0025121D">
        <w:t xml:space="preserve">) </w:t>
      </w:r>
      <w:r w:rsidR="00FC63AE">
        <w:t>and entrapped into an</w:t>
      </w:r>
      <w:r w:rsidR="0025121D">
        <w:t xml:space="preserve"> acidified glass filter wrapped into a hydrophobic, gas permeable PTFE tape. </w:t>
      </w:r>
    </w:p>
    <w:p w:rsidR="001B0A09" w:rsidRPr="00C07817" w:rsidRDefault="0025121D" w:rsidP="00C07817">
      <w:r>
        <w:t xml:space="preserve">The obtained filters were frozen dried at the Grant Laboratories of the University of Edinburgh and sent to the *** for </w:t>
      </w:r>
      <w:r w:rsidR="00271F5E" w:rsidRPr="00271F5E">
        <w:t>δ</w:t>
      </w:r>
      <w:r w:rsidR="00271F5E" w:rsidRPr="00271F5E">
        <w:rPr>
          <w:vertAlign w:val="superscript"/>
        </w:rPr>
        <w:t>15</w:t>
      </w:r>
      <w:r w:rsidR="00271F5E" w:rsidRPr="00271F5E">
        <w:t>N</w:t>
      </w:r>
      <w:r w:rsidR="00271F5E" w:rsidRPr="00271F5E">
        <w:t xml:space="preserve"> </w:t>
      </w:r>
      <w:r>
        <w:t xml:space="preserve">analysis. </w:t>
      </w:r>
    </w:p>
    <w:p w:rsidR="00AF4434" w:rsidRDefault="00AF4434" w:rsidP="00AF4434">
      <w:pPr>
        <w:pStyle w:val="Titolo3"/>
      </w:pPr>
      <w:r>
        <w:t>Experiment “</w:t>
      </w:r>
      <w:r w:rsidRPr="00A30695">
        <w:rPr>
          <w:vertAlign w:val="superscript"/>
        </w:rPr>
        <w:t>15</w:t>
      </w:r>
      <w:r>
        <w:t>N-labelled application on branches”</w:t>
      </w:r>
      <w:r w:rsidR="00A30695">
        <w:t xml:space="preserve"> change title from </w:t>
      </w:r>
      <w:proofErr w:type="spellStart"/>
      <w:r w:rsidR="00A30695">
        <w:t>adriansens</w:t>
      </w:r>
      <w:proofErr w:type="spellEnd"/>
    </w:p>
    <w:p w:rsidR="001B0A09" w:rsidRPr="00271F5E" w:rsidRDefault="00271F5E" w:rsidP="00C07817">
      <w:r w:rsidRPr="00271F5E">
        <w:t xml:space="preserve">Due to the different nature and relative abundance of N in the </w:t>
      </w:r>
      <w:r>
        <w:t xml:space="preserve">aqueous </w:t>
      </w:r>
      <w:r w:rsidRPr="00271F5E">
        <w:t>inflow and in t</w:t>
      </w:r>
      <w:r>
        <w:t xml:space="preserve">he tree compartments, </w:t>
      </w:r>
      <w:r w:rsidR="00974290">
        <w:t xml:space="preserve">a separate experiment has been set </w:t>
      </w:r>
      <w:r w:rsidR="00974290">
        <w:t>to test the direct uptake of N</w:t>
      </w:r>
      <w:r w:rsidR="00974290" w:rsidRPr="00271F5E">
        <w:rPr>
          <w:vertAlign w:val="subscript"/>
        </w:rPr>
        <w:t>dep</w:t>
      </w:r>
      <w:r w:rsidR="00974290">
        <w:t xml:space="preserve"> by the crown</w:t>
      </w:r>
      <w:r w:rsidR="00974290">
        <w:t xml:space="preserve">. A </w:t>
      </w:r>
      <w:r w:rsidR="00974290">
        <w:t xml:space="preserve">direct application of pure double </w:t>
      </w:r>
      <w:r w:rsidR="00974290" w:rsidRPr="00271F5E">
        <w:rPr>
          <w:vertAlign w:val="superscript"/>
        </w:rPr>
        <w:t>15</w:t>
      </w:r>
      <w:r w:rsidR="00974290">
        <w:t>N-</w:t>
      </w:r>
      <w:r w:rsidR="00974290" w:rsidRPr="00974290">
        <w:t>NH</w:t>
      </w:r>
      <w:r w:rsidR="00974290" w:rsidRPr="00974290">
        <w:rPr>
          <w:vertAlign w:val="subscript"/>
        </w:rPr>
        <w:t>4</w:t>
      </w:r>
      <w:r w:rsidR="00974290" w:rsidRPr="00974290">
        <w:t>NO</w:t>
      </w:r>
      <w:r w:rsidR="00974290" w:rsidRPr="00974290">
        <w:rPr>
          <w:vertAlign w:val="subscript"/>
        </w:rPr>
        <w:t>3</w:t>
      </w:r>
      <w:r w:rsidR="00974290">
        <w:t xml:space="preserve"> solution </w:t>
      </w:r>
      <w:r w:rsidRPr="00974290">
        <w:t>to</w:t>
      </w:r>
      <w:r>
        <w:t xml:space="preserve"> some target branches has done similarly to what Nair et al. (</w:t>
      </w:r>
      <w:proofErr w:type="gramStart"/>
      <w:r>
        <w:t>2016)*</w:t>
      </w:r>
      <w:proofErr w:type="gramEnd"/>
      <w:r>
        <w:t xml:space="preserve"> had previously done on </w:t>
      </w:r>
      <w:r w:rsidR="00974290">
        <w:t xml:space="preserve">3 years old </w:t>
      </w:r>
      <w:r>
        <w:t>Sitka spruce saplings. 10 branches were selected from 2 different trees</w:t>
      </w:r>
      <w:r w:rsidR="00974290">
        <w:t xml:space="preserve"> </w:t>
      </w:r>
      <w:r w:rsidR="00974290">
        <w:t>in the T plot</w:t>
      </w:r>
      <w:r>
        <w:t xml:space="preserve">, </w:t>
      </w:r>
      <w:r w:rsidR="00974290">
        <w:t xml:space="preserve">easily reachable from </w:t>
      </w:r>
      <w:r>
        <w:t xml:space="preserve">the eddy covariance tower </w:t>
      </w:r>
      <w:r w:rsidR="00974290">
        <w:t>so to minimise</w:t>
      </w:r>
      <w:r>
        <w:t xml:space="preserve"> losses</w:t>
      </w:r>
      <w:r w:rsidR="00974290">
        <w:t xml:space="preserve"> of solution. For each branch 2 sub-branches were selected, one for the application and one for Control. The total amount of </w:t>
      </w:r>
      <w:r w:rsidR="00974290" w:rsidRPr="00271F5E">
        <w:rPr>
          <w:vertAlign w:val="superscript"/>
        </w:rPr>
        <w:t>15</w:t>
      </w:r>
      <w:r w:rsidR="00974290">
        <w:t>N</w:t>
      </w:r>
      <w:r w:rsidR="00974290">
        <w:t xml:space="preserve"> was *48 g/ha, so that it would not change the </w:t>
      </w:r>
      <w:r w:rsidR="00F442B8">
        <w:t>*******************</w:t>
      </w:r>
      <w:bookmarkStart w:id="0" w:name="_GoBack"/>
      <w:bookmarkEnd w:id="0"/>
    </w:p>
    <w:p w:rsidR="004F1423" w:rsidRPr="00974290" w:rsidRDefault="004F1423" w:rsidP="00AF4434">
      <w:r w:rsidRPr="00974290">
        <w:lastRenderedPageBreak/>
        <w:t xml:space="preserve">15N – labelled </w:t>
      </w:r>
    </w:p>
    <w:p w:rsidR="00E36A80" w:rsidRDefault="00E36A80" w:rsidP="00A62E84">
      <w:r w:rsidRPr="00DC2BA2">
        <w:rPr>
          <w:lang w:val="it-IT"/>
        </w:rPr>
        <w:t xml:space="preserve">Open </w:t>
      </w:r>
      <w:proofErr w:type="spellStart"/>
      <w:r w:rsidRPr="00DC2BA2">
        <w:rPr>
          <w:lang w:val="it-IT"/>
        </w:rPr>
        <w:t>questions</w:t>
      </w:r>
      <w:proofErr w:type="spellEnd"/>
      <w:r w:rsidRPr="00DC2BA2">
        <w:rPr>
          <w:lang w:val="it-IT"/>
        </w:rPr>
        <w:t xml:space="preserve">: ma la rationale, Magnani e pippe varie, da dove era partito il progetto, vanno qui? </w:t>
      </w:r>
      <w:r>
        <w:t xml:space="preserve">Secondo me, </w:t>
      </w:r>
      <w:proofErr w:type="spellStart"/>
      <w:r>
        <w:t>si</w:t>
      </w:r>
      <w:proofErr w:type="spellEnd"/>
      <w:r>
        <w:t>. In that case, see the PhD offer document.</w:t>
      </w:r>
    </w:p>
    <w:p w:rsidR="00923AE9" w:rsidRDefault="00923AE9" w:rsidP="00923AE9">
      <w:r>
        <w:t xml:space="preserve">Brief description of some of the previous experiments. </w:t>
      </w:r>
    </w:p>
    <w:p w:rsidR="001B0A09" w:rsidRDefault="001B0A09" w:rsidP="00A62E84">
      <w:r>
        <w:t>Sample preparation (check Richard), drying and milling (</w:t>
      </w:r>
      <w:proofErr w:type="spellStart"/>
      <w:r>
        <w:t>usa</w:t>
      </w:r>
      <w:proofErr w:type="spellEnd"/>
      <w:r>
        <w:t xml:space="preserve"> la </w:t>
      </w:r>
      <w:proofErr w:type="spellStart"/>
      <w:r>
        <w:t>roba</w:t>
      </w:r>
      <w:proofErr w:type="spellEnd"/>
      <w:r>
        <w:t xml:space="preserve"> del Corso! Yeah!)</w:t>
      </w:r>
    </w:p>
    <w:p w:rsidR="00FE0408" w:rsidRDefault="001D6D4D" w:rsidP="00A62E84">
      <w:r>
        <w:t>Notes for later:</w:t>
      </w:r>
    </w:p>
    <w:p w:rsidR="002C4EB5" w:rsidRDefault="002C4EB5" w:rsidP="00A62E84">
      <w:r>
        <w:t>Mitchell work with 87-93 of CNU!</w:t>
      </w:r>
    </w:p>
    <w:p w:rsidR="00DD448C" w:rsidRDefault="00EC1CFC" w:rsidP="00A62E84">
      <w:r>
        <w:t>Results</w:t>
      </w:r>
      <w:r w:rsidR="008B31AF">
        <w:t xml:space="preserve"> for the 5 years dataset: </w:t>
      </w:r>
      <w:proofErr w:type="spellStart"/>
      <w:r w:rsidR="008B31AF">
        <w:t>Descrizione</w:t>
      </w:r>
      <w:proofErr w:type="spellEnd"/>
      <w:r w:rsidR="008B31AF">
        <w:t xml:space="preserve"> del database </w:t>
      </w:r>
      <w:proofErr w:type="spellStart"/>
      <w:r w:rsidR="008B31AF">
        <w:t>ottenuto</w:t>
      </w:r>
      <w:proofErr w:type="spellEnd"/>
      <w:r w:rsidR="008B31AF">
        <w:t xml:space="preserve"> -&gt; fieldwork and lab methodology, data quality (NAs), data treatment, outliers, regression and interpolation.</w:t>
      </w:r>
    </w:p>
    <w:p w:rsidR="001B0A09" w:rsidRDefault="001B0A09">
      <w:pPr>
        <w:rPr>
          <w:rStyle w:val="Riferimentodelicato"/>
        </w:rPr>
      </w:pPr>
      <w:r>
        <w:rPr>
          <w:rStyle w:val="Riferimentodelicato"/>
        </w:rPr>
        <w:br w:type="page"/>
      </w:r>
    </w:p>
    <w:p w:rsidR="00DD448C" w:rsidRPr="00DD448C" w:rsidRDefault="00DD448C" w:rsidP="00A62E84">
      <w:pPr>
        <w:rPr>
          <w:rStyle w:val="Riferimentodelicato"/>
        </w:rPr>
      </w:pPr>
      <w:r w:rsidRPr="00DD448C">
        <w:rPr>
          <w:rStyle w:val="Riferimentodelicato"/>
        </w:rPr>
        <w:lastRenderedPageBreak/>
        <w:t>References</w:t>
      </w:r>
    </w:p>
    <w:p w:rsidR="001B0A09" w:rsidRPr="001B0A09" w:rsidRDefault="00DD448C" w:rsidP="001B0A09">
      <w:pPr>
        <w:pStyle w:val="EndNoteBibliography"/>
      </w:pPr>
      <w:r>
        <w:fldChar w:fldCharType="begin"/>
      </w:r>
      <w:r>
        <w:instrText xml:space="preserve"> ADDIN EN.REFLIST </w:instrText>
      </w:r>
      <w:r>
        <w:fldChar w:fldCharType="separate"/>
      </w:r>
      <w:r w:rsidR="001B0A09" w:rsidRPr="001B0A09">
        <w:t xml:space="preserve">British Standard (1981). Methods of measurement of liquid flow in open channels. . </w:t>
      </w:r>
      <w:r w:rsidR="001B0A09" w:rsidRPr="001B0A09">
        <w:rPr>
          <w:u w:val="single"/>
        </w:rPr>
        <w:t xml:space="preserve">Method using thin-plate weirs </w:t>
      </w:r>
      <w:r w:rsidR="001B0A09" w:rsidRPr="001B0A09">
        <w:t>39.</w:t>
      </w:r>
    </w:p>
    <w:p w:rsidR="001B0A09" w:rsidRPr="001B0A09" w:rsidRDefault="001B0A09" w:rsidP="001B0A09">
      <w:pPr>
        <w:pStyle w:val="EndNoteBibliography"/>
      </w:pPr>
      <w:r w:rsidRPr="001B0A09">
        <w:t xml:space="preserve">Clement, R. J., et al. (2012). "Carbon dioxide exchange of a Sitka spruce plantation in Scotland over five years." </w:t>
      </w:r>
      <w:r w:rsidRPr="001B0A09">
        <w:rPr>
          <w:u w:val="single"/>
        </w:rPr>
        <w:t>Agricultural and Forest Meteorology</w:t>
      </w:r>
      <w:r w:rsidRPr="001B0A09">
        <w:t xml:space="preserve"> </w:t>
      </w:r>
      <w:r w:rsidRPr="001B0A09">
        <w:rPr>
          <w:b/>
        </w:rPr>
        <w:t>153</w:t>
      </w:r>
      <w:r w:rsidRPr="001B0A09">
        <w:t>: 106-123.</w:t>
      </w:r>
    </w:p>
    <w:p w:rsidR="001B0A09" w:rsidRPr="001B0A09" w:rsidRDefault="001B0A09" w:rsidP="001B0A09">
      <w:pPr>
        <w:pStyle w:val="EndNoteBibliography"/>
      </w:pPr>
      <w:r w:rsidRPr="001B0A09">
        <w:t xml:space="preserve">Craig, G. Y. (1925). </w:t>
      </w:r>
      <w:r w:rsidRPr="001B0A09">
        <w:rPr>
          <w:u w:val="single"/>
        </w:rPr>
        <w:t>Geology of Scotland</w:t>
      </w:r>
      <w:r w:rsidRPr="001B0A09">
        <w:t>, Edinburgh: Scottish Academics.</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Forestry Commission (2011) National Forest Inventory Woodland Area Statistics: Scotland 17 </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Forestry Commission (2017, 28th September 2017). "Forestry statistics and Forestry in facts and figures." Retrieved 6 October, 2017, from </w:t>
      </w:r>
      <w:hyperlink r:id="rId10" w:history="1">
        <w:r w:rsidRPr="001B0A09">
          <w:rPr>
            <w:rStyle w:val="Collegamentoipertestuale"/>
          </w:rPr>
          <w:t>https://www.forestry.gov.uk/forestry/infd-7aqdgc</w:t>
        </w:r>
      </w:hyperlink>
      <w:r w:rsidRPr="001B0A09">
        <w:t>.</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Heal, K. V., et al. (2004). "New data for water losses from mature Sitka spruce plantations in temperate upland catchments." </w:t>
      </w:r>
      <w:r w:rsidRPr="001B0A09">
        <w:rPr>
          <w:u w:val="single"/>
        </w:rPr>
        <w:t>Hydrological Sciences Journal-Journal Des Sciences Hydrologiques</w:t>
      </w:r>
      <w:r w:rsidRPr="001B0A09">
        <w:t xml:space="preserve"> </w:t>
      </w:r>
      <w:r w:rsidRPr="001B0A09">
        <w:rPr>
          <w:b/>
        </w:rPr>
        <w:t>49</w:t>
      </w:r>
      <w:r w:rsidRPr="001B0A09">
        <w:t>(3): 477-493.</w:t>
      </w:r>
    </w:p>
    <w:p w:rsidR="001B0A09" w:rsidRPr="001B0A09" w:rsidRDefault="001B0A09" w:rsidP="001B0A09">
      <w:pPr>
        <w:pStyle w:val="EndNoteBibliography"/>
      </w:pPr>
      <w:r w:rsidRPr="001B0A09">
        <w:t xml:space="preserve">Oosthoek, K. J. (2013). </w:t>
      </w:r>
      <w:r w:rsidRPr="001B0A09">
        <w:rPr>
          <w:u w:val="single"/>
        </w:rPr>
        <w:t>Conquering the Highlands : a history of the afforestation of the Scottish uplands</w:t>
      </w:r>
      <w:r w:rsidRPr="001B0A09">
        <w:t>, Australian National University E Press.</w:t>
      </w:r>
    </w:p>
    <w:p w:rsidR="001B0A09" w:rsidRPr="001B0A09" w:rsidRDefault="001B0A09" w:rsidP="001B0A09">
      <w:pPr>
        <w:pStyle w:val="EndNoteBibliography"/>
        <w:spacing w:after="0"/>
        <w:ind w:left="720" w:hanging="720"/>
      </w:pPr>
      <w:r w:rsidRPr="001B0A09">
        <w:tab/>
      </w:r>
    </w:p>
    <w:p w:rsidR="001B0A09" w:rsidRPr="001B0A09" w:rsidRDefault="001B0A09" w:rsidP="001B0A09">
      <w:pPr>
        <w:pStyle w:val="EndNoteBibliography"/>
      </w:pPr>
      <w:r w:rsidRPr="001B0A09">
        <w:t xml:space="preserve">Sebilo, M., et al. (2004). "The Use of the 'Ammonium Diffusion' Method for delta(15)N-NH(4)(+) and delta(15)N-NO(3)(-) Measurements: Comparison with Other Techniques." </w:t>
      </w:r>
      <w:r w:rsidRPr="001B0A09">
        <w:rPr>
          <w:u w:val="single"/>
        </w:rPr>
        <w:t>Environmental Chemistry</w:t>
      </w:r>
      <w:r w:rsidRPr="001B0A09">
        <w:t xml:space="preserve"> </w:t>
      </w:r>
      <w:r w:rsidRPr="001B0A09">
        <w:rPr>
          <w:b/>
        </w:rPr>
        <w:t>1</w:t>
      </w:r>
      <w:r w:rsidRPr="001B0A09">
        <w:t>(2): 99-103.</w:t>
      </w:r>
    </w:p>
    <w:p w:rsidR="001B0A09" w:rsidRPr="001B0A09" w:rsidRDefault="001B0A09" w:rsidP="001B0A09">
      <w:pPr>
        <w:pStyle w:val="EndNoteBibliography"/>
      </w:pPr>
      <w:r w:rsidRPr="001B0A09">
        <w:t xml:space="preserve">Smout, T. C., Ed. (1997). </w:t>
      </w:r>
      <w:r w:rsidRPr="001B0A09">
        <w:rPr>
          <w:u w:val="single"/>
        </w:rPr>
        <w:t>Scottish Woodland History</w:t>
      </w:r>
      <w:r w:rsidRPr="001B0A09">
        <w:t>, Scottish Cultural Press - Edinburgh.</w:t>
      </w:r>
    </w:p>
    <w:p w:rsidR="001B0A09" w:rsidRPr="001B0A09" w:rsidRDefault="001B0A09" w:rsidP="001B0A09">
      <w:pPr>
        <w:pStyle w:val="EndNoteBibliography"/>
      </w:pPr>
      <w:r w:rsidRPr="001B0A09">
        <w:t xml:space="preserve">Tompkins, S. (1989). </w:t>
      </w:r>
      <w:r w:rsidRPr="001B0A09">
        <w:rPr>
          <w:u w:val="single"/>
        </w:rPr>
        <w:t>Forestry in crisis: the battle for the hills</w:t>
      </w:r>
      <w:r w:rsidRPr="001B0A09">
        <w:t>, Christopher Helm.</w:t>
      </w:r>
    </w:p>
    <w:p w:rsidR="008B31AF" w:rsidRDefault="00DD448C" w:rsidP="00A62E84">
      <w:r>
        <w:fldChar w:fldCharType="end"/>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C41FFF"/>
    <w:multiLevelType w:val="multilevel"/>
    <w:tmpl w:val="22C2BAD4"/>
    <w:lvl w:ilvl="0">
      <w:start w:val="2"/>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wpz50tppf20qes0adx5aztet0w9xtartsd&quot;&gt;My EndNote Library&lt;record-ids&gt;&lt;item&gt;7&lt;/item&gt;&lt;item&gt;59&lt;/item&gt;&lt;item&gt;60&lt;/item&gt;&lt;item&gt;61&lt;/item&gt;&lt;item&gt;62&lt;/item&gt;&lt;item&gt;63&lt;/item&gt;&lt;item&gt;64&lt;/item&gt;&lt;item&gt;65&lt;/item&gt;&lt;item&gt;66&lt;/item&gt;&lt;item&gt;67&lt;/item&gt;&lt;/record-ids&gt;&lt;/item&gt;&lt;/Libraries&gt;"/>
  </w:docVars>
  <w:rsids>
    <w:rsidRoot w:val="008C56C9"/>
    <w:rsid w:val="000075E5"/>
    <w:rsid w:val="00026A75"/>
    <w:rsid w:val="00054781"/>
    <w:rsid w:val="000854C9"/>
    <w:rsid w:val="001107E3"/>
    <w:rsid w:val="00144F8C"/>
    <w:rsid w:val="00153DA4"/>
    <w:rsid w:val="001546DB"/>
    <w:rsid w:val="00160C15"/>
    <w:rsid w:val="00193333"/>
    <w:rsid w:val="001B0A09"/>
    <w:rsid w:val="001C3DFD"/>
    <w:rsid w:val="001C4550"/>
    <w:rsid w:val="001D6D4D"/>
    <w:rsid w:val="001E44E2"/>
    <w:rsid w:val="002237CF"/>
    <w:rsid w:val="0024096E"/>
    <w:rsid w:val="00243FD2"/>
    <w:rsid w:val="002511A7"/>
    <w:rsid w:val="0025121D"/>
    <w:rsid w:val="00255EC1"/>
    <w:rsid w:val="00271F5E"/>
    <w:rsid w:val="002726B2"/>
    <w:rsid w:val="00284F94"/>
    <w:rsid w:val="00293830"/>
    <w:rsid w:val="00294A19"/>
    <w:rsid w:val="002C4EB5"/>
    <w:rsid w:val="002E0C64"/>
    <w:rsid w:val="002E1B72"/>
    <w:rsid w:val="002E7F33"/>
    <w:rsid w:val="002F60B4"/>
    <w:rsid w:val="003228CF"/>
    <w:rsid w:val="003647BC"/>
    <w:rsid w:val="00396C27"/>
    <w:rsid w:val="003B7A47"/>
    <w:rsid w:val="003D5ACD"/>
    <w:rsid w:val="003F2B4E"/>
    <w:rsid w:val="00415D6F"/>
    <w:rsid w:val="00427A70"/>
    <w:rsid w:val="00427FB4"/>
    <w:rsid w:val="00434B79"/>
    <w:rsid w:val="00467DB6"/>
    <w:rsid w:val="00485803"/>
    <w:rsid w:val="004F1423"/>
    <w:rsid w:val="004F1B4F"/>
    <w:rsid w:val="005003FE"/>
    <w:rsid w:val="00501E35"/>
    <w:rsid w:val="00545606"/>
    <w:rsid w:val="00571BFC"/>
    <w:rsid w:val="00590BD1"/>
    <w:rsid w:val="005B4F82"/>
    <w:rsid w:val="005C233F"/>
    <w:rsid w:val="006353F5"/>
    <w:rsid w:val="006526B6"/>
    <w:rsid w:val="006768D8"/>
    <w:rsid w:val="00697C16"/>
    <w:rsid w:val="006C3528"/>
    <w:rsid w:val="00764474"/>
    <w:rsid w:val="00776D6C"/>
    <w:rsid w:val="0077775C"/>
    <w:rsid w:val="007C6DF9"/>
    <w:rsid w:val="007D502C"/>
    <w:rsid w:val="0080662A"/>
    <w:rsid w:val="00832AE4"/>
    <w:rsid w:val="00842E2E"/>
    <w:rsid w:val="00846760"/>
    <w:rsid w:val="00857C2B"/>
    <w:rsid w:val="00857C3B"/>
    <w:rsid w:val="008805CB"/>
    <w:rsid w:val="00883358"/>
    <w:rsid w:val="00891EBF"/>
    <w:rsid w:val="008B31AF"/>
    <w:rsid w:val="008B61DD"/>
    <w:rsid w:val="008C1DED"/>
    <w:rsid w:val="008C56C9"/>
    <w:rsid w:val="008D546C"/>
    <w:rsid w:val="00910727"/>
    <w:rsid w:val="0091302D"/>
    <w:rsid w:val="00922576"/>
    <w:rsid w:val="00923027"/>
    <w:rsid w:val="00923AE9"/>
    <w:rsid w:val="00927BC9"/>
    <w:rsid w:val="00947A42"/>
    <w:rsid w:val="00974290"/>
    <w:rsid w:val="00976429"/>
    <w:rsid w:val="009A516F"/>
    <w:rsid w:val="009C2BC4"/>
    <w:rsid w:val="009F29B6"/>
    <w:rsid w:val="00A30695"/>
    <w:rsid w:val="00A46AC8"/>
    <w:rsid w:val="00A60D4D"/>
    <w:rsid w:val="00A62E84"/>
    <w:rsid w:val="00A65E38"/>
    <w:rsid w:val="00A72AA3"/>
    <w:rsid w:val="00A77084"/>
    <w:rsid w:val="00AA0B14"/>
    <w:rsid w:val="00AA64A0"/>
    <w:rsid w:val="00AF4434"/>
    <w:rsid w:val="00B05A33"/>
    <w:rsid w:val="00B14AA4"/>
    <w:rsid w:val="00B37E62"/>
    <w:rsid w:val="00B61816"/>
    <w:rsid w:val="00B82882"/>
    <w:rsid w:val="00B8600B"/>
    <w:rsid w:val="00B94561"/>
    <w:rsid w:val="00BA14EC"/>
    <w:rsid w:val="00BA3C0D"/>
    <w:rsid w:val="00BE6112"/>
    <w:rsid w:val="00C07817"/>
    <w:rsid w:val="00C111FB"/>
    <w:rsid w:val="00C33294"/>
    <w:rsid w:val="00C930D2"/>
    <w:rsid w:val="00CA0282"/>
    <w:rsid w:val="00CE739D"/>
    <w:rsid w:val="00CF3248"/>
    <w:rsid w:val="00D26561"/>
    <w:rsid w:val="00D65E42"/>
    <w:rsid w:val="00D86C28"/>
    <w:rsid w:val="00DA1AE9"/>
    <w:rsid w:val="00DB711E"/>
    <w:rsid w:val="00DB76C3"/>
    <w:rsid w:val="00DC2BA2"/>
    <w:rsid w:val="00DD448C"/>
    <w:rsid w:val="00E03E7E"/>
    <w:rsid w:val="00E323E2"/>
    <w:rsid w:val="00E361C9"/>
    <w:rsid w:val="00E36A80"/>
    <w:rsid w:val="00E47992"/>
    <w:rsid w:val="00E501C4"/>
    <w:rsid w:val="00E5078B"/>
    <w:rsid w:val="00E5392B"/>
    <w:rsid w:val="00E800C8"/>
    <w:rsid w:val="00E95C7E"/>
    <w:rsid w:val="00EA5EE5"/>
    <w:rsid w:val="00EB27EC"/>
    <w:rsid w:val="00EB5A42"/>
    <w:rsid w:val="00EC1CFC"/>
    <w:rsid w:val="00EF3F70"/>
    <w:rsid w:val="00F23E43"/>
    <w:rsid w:val="00F442B8"/>
    <w:rsid w:val="00F53D61"/>
    <w:rsid w:val="00F57D3A"/>
    <w:rsid w:val="00F8654B"/>
    <w:rsid w:val="00FB27A3"/>
    <w:rsid w:val="00FC63AE"/>
    <w:rsid w:val="00FE0408"/>
    <w:rsid w:val="00FF62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C19DC"/>
  <w15:chartTrackingRefBased/>
  <w15:docId w15:val="{6DA96F39-8B6B-42EA-9A3C-27511255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62E84"/>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B9456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764474"/>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6526B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6526B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6526B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6526B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6526B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6526B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62E84"/>
    <w:rPr>
      <w:rFonts w:asciiTheme="majorHAnsi" w:eastAsiaTheme="majorEastAsia" w:hAnsiTheme="majorHAnsi" w:cstheme="majorBidi"/>
      <w:color w:val="2E74B5" w:themeColor="accent1" w:themeShade="BF"/>
      <w:sz w:val="32"/>
      <w:szCs w:val="32"/>
    </w:rPr>
  </w:style>
  <w:style w:type="character" w:styleId="Collegamentoipertestuale">
    <w:name w:val="Hyperlink"/>
    <w:basedOn w:val="Carpredefinitoparagrafo"/>
    <w:uiPriority w:val="99"/>
    <w:unhideWhenUsed/>
    <w:rsid w:val="007C6DF9"/>
    <w:rPr>
      <w:color w:val="0000FF"/>
      <w:u w:val="single"/>
    </w:rPr>
  </w:style>
  <w:style w:type="character" w:customStyle="1" w:styleId="Titolo2Carattere">
    <w:name w:val="Titolo 2 Carattere"/>
    <w:basedOn w:val="Carpredefinitoparagrafo"/>
    <w:link w:val="Titolo2"/>
    <w:uiPriority w:val="9"/>
    <w:rsid w:val="00B94561"/>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764474"/>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semiHidden/>
    <w:rsid w:val="006526B6"/>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6526B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6526B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6526B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6526B6"/>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e"/>
    <w:link w:val="EndNoteBibliographyTitleChar"/>
    <w:rsid w:val="00DD448C"/>
    <w:pPr>
      <w:spacing w:after="0"/>
      <w:jc w:val="center"/>
    </w:pPr>
    <w:rPr>
      <w:rFonts w:ascii="Calibri" w:hAnsi="Calibri"/>
      <w:noProof/>
      <w:lang w:val="en-US"/>
    </w:rPr>
  </w:style>
  <w:style w:type="character" w:customStyle="1" w:styleId="EndNoteBibliographyTitleChar">
    <w:name w:val="EndNote Bibliography Title Char"/>
    <w:basedOn w:val="Carpredefinitoparagrafo"/>
    <w:link w:val="EndNoteBibliographyTitle"/>
    <w:rsid w:val="00DD448C"/>
    <w:rPr>
      <w:rFonts w:ascii="Calibri" w:hAnsi="Calibri"/>
      <w:noProof/>
      <w:lang w:val="en-US"/>
    </w:rPr>
  </w:style>
  <w:style w:type="paragraph" w:customStyle="1" w:styleId="EndNoteBibliography">
    <w:name w:val="EndNote Bibliography"/>
    <w:basedOn w:val="Normale"/>
    <w:link w:val="EndNoteBibliographyChar"/>
    <w:rsid w:val="00DD448C"/>
    <w:pPr>
      <w:spacing w:line="240" w:lineRule="auto"/>
    </w:pPr>
    <w:rPr>
      <w:rFonts w:ascii="Calibri" w:hAnsi="Calibri"/>
      <w:noProof/>
      <w:lang w:val="en-US"/>
    </w:rPr>
  </w:style>
  <w:style w:type="character" w:customStyle="1" w:styleId="EndNoteBibliographyChar">
    <w:name w:val="EndNote Bibliography Char"/>
    <w:basedOn w:val="Carpredefinitoparagrafo"/>
    <w:link w:val="EndNoteBibliography"/>
    <w:rsid w:val="00DD448C"/>
    <w:rPr>
      <w:rFonts w:ascii="Calibri" w:hAnsi="Calibri"/>
      <w:noProof/>
      <w:lang w:val="en-US"/>
    </w:rPr>
  </w:style>
  <w:style w:type="character" w:styleId="Riferimentodelicato">
    <w:name w:val="Subtle Reference"/>
    <w:basedOn w:val="Carpredefinitoparagrafo"/>
    <w:uiPriority w:val="31"/>
    <w:qFormat/>
    <w:rsid w:val="00DD448C"/>
    <w:rPr>
      <w:smallCaps/>
      <w:color w:val="5A5A5A" w:themeColor="text1" w:themeTint="A5"/>
    </w:rPr>
  </w:style>
  <w:style w:type="character" w:customStyle="1" w:styleId="Menzionenonrisolta1">
    <w:name w:val="Menzione non risolta1"/>
    <w:basedOn w:val="Carpredefinitoparagrafo"/>
    <w:uiPriority w:val="99"/>
    <w:semiHidden/>
    <w:unhideWhenUsed/>
    <w:rsid w:val="00FB27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10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forestry.gov.uk/forestry/infd-7aqdgc" TargetMode="External"/><Relationship Id="rId4" Type="http://schemas.openxmlformats.org/officeDocument/2006/relationships/webSettings" Target="webSettings.xml"/><Relationship Id="rId9" Type="http://schemas.openxmlformats.org/officeDocument/2006/relationships/hyperlink" Target="https://en.wikipedia.org/w/index.php?title=Jo%C3%A3o_Manuel_Antonio_do_Amaral_Franco&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5142</TotalTime>
  <Pages>9</Pages>
  <Words>4297</Words>
  <Characters>24497</Characters>
  <Application>Microsoft Office Word</Application>
  <DocSecurity>0</DocSecurity>
  <Lines>204</Lines>
  <Paragraphs>57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University of Edinburgh</Company>
  <LinksUpToDate>false</LinksUpToDate>
  <CharactersWithSpaces>28737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Daniele Ferraretto</cp:lastModifiedBy>
  <cp:revision>15</cp:revision>
  <dcterms:created xsi:type="dcterms:W3CDTF">2017-10-03T17:57:00Z</dcterms:created>
  <dcterms:modified xsi:type="dcterms:W3CDTF">2017-10-14T16:56:00Z</dcterms:modified>
</cp:coreProperties>
</file>