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4A6" w:rsidRDefault="00A358C0" w:rsidP="002A54A6">
      <w:pPr>
        <w:jc w:val="center"/>
        <w:rPr>
          <w:b/>
          <w:sz w:val="28"/>
        </w:rPr>
      </w:pPr>
      <w:r w:rsidRPr="002A54A6">
        <w:rPr>
          <w:b/>
          <w:sz w:val="28"/>
        </w:rPr>
        <w:t>Request for application to the El</w:t>
      </w:r>
      <w:r w:rsidR="002A54A6">
        <w:rPr>
          <w:b/>
          <w:sz w:val="28"/>
        </w:rPr>
        <w:t>izabeth Sinclair Irvine Bequest</w:t>
      </w:r>
    </w:p>
    <w:p w:rsidR="00A358C0" w:rsidRPr="002A54A6" w:rsidRDefault="00A358C0" w:rsidP="002A54A6">
      <w:pPr>
        <w:jc w:val="center"/>
        <w:rPr>
          <w:b/>
          <w:sz w:val="28"/>
        </w:rPr>
      </w:pPr>
      <w:proofErr w:type="gramStart"/>
      <w:r w:rsidRPr="002A54A6">
        <w:rPr>
          <w:b/>
          <w:sz w:val="28"/>
        </w:rPr>
        <w:t>and</w:t>
      </w:r>
      <w:proofErr w:type="gramEnd"/>
      <w:r w:rsidRPr="002A54A6">
        <w:rPr>
          <w:b/>
          <w:sz w:val="28"/>
        </w:rPr>
        <w:t xml:space="preserve"> Centenary Agroforestry 89 Fund</w:t>
      </w:r>
    </w:p>
    <w:p w:rsidR="00A358C0" w:rsidRDefault="00A358C0" w:rsidP="002A54A6">
      <w:r w:rsidRPr="002A54A6">
        <w:rPr>
          <w:b/>
        </w:rPr>
        <w:t xml:space="preserve">Objective: </w:t>
      </w:r>
      <w:proofErr w:type="spellStart"/>
      <w:r w:rsidRPr="008E35DC">
        <w:t>Partecipation</w:t>
      </w:r>
      <w:proofErr w:type="spellEnd"/>
      <w:r w:rsidRPr="008E35DC">
        <w:t xml:space="preserve"> to the </w:t>
      </w:r>
      <w:r w:rsidRPr="008E35DC">
        <w:t xml:space="preserve">EGU General Assembly 2017 with the poster: </w:t>
      </w:r>
      <w:r w:rsidRPr="008E35DC">
        <w:t>Evidence for substantial forestry canopy processing of nitrogen deposition using isotopic tracer experiments in low deposition conditions</w:t>
      </w:r>
    </w:p>
    <w:p w:rsidR="00A358C0" w:rsidRDefault="00A358C0" w:rsidP="002A54A6">
      <w:r>
        <w:t>The primary objective of my PhD is to better understand the fate of atmospheric nitrogen</w:t>
      </w:r>
      <w:r w:rsidR="00345649">
        <w:t xml:space="preserve"> (N)</w:t>
      </w:r>
      <w:r>
        <w:t xml:space="preserve"> deposition (</w:t>
      </w:r>
      <w:proofErr w:type="spellStart"/>
      <w:r>
        <w:t>N</w:t>
      </w:r>
      <w:r w:rsidRPr="00427599">
        <w:rPr>
          <w:vertAlign w:val="subscript"/>
        </w:rPr>
        <w:t>dep</w:t>
      </w:r>
      <w:proofErr w:type="spellEnd"/>
      <w:r>
        <w:t>)</w:t>
      </w:r>
      <w:r w:rsidR="001E0C2E">
        <w:t xml:space="preserve"> </w:t>
      </w:r>
      <w:r>
        <w:t>on forest canopies. Analysis of 5.5 years of data from site scale</w:t>
      </w:r>
      <w:r w:rsidRPr="002A54A6">
        <w:t xml:space="preserve"> </w:t>
      </w:r>
      <w:proofErr w:type="spellStart"/>
      <w:r w:rsidRPr="002A54A6">
        <w:t>hydrochemical</w:t>
      </w:r>
      <w:proofErr w:type="spellEnd"/>
      <w:r w:rsidRPr="002A54A6">
        <w:t xml:space="preserve"> sampling and field measurement at Griffin Forest</w:t>
      </w:r>
      <w:r w:rsidR="008E35DC">
        <w:t xml:space="preserve"> (Perthshire, UK)</w:t>
      </w:r>
      <w:r w:rsidRPr="002A54A6">
        <w:t xml:space="preserve">, our well-characterised study site typical of upland UK </w:t>
      </w:r>
      <w:r w:rsidR="00ED1543">
        <w:t xml:space="preserve">Sitka spruce </w:t>
      </w:r>
      <w:r w:rsidRPr="002A54A6">
        <w:t xml:space="preserve">plantation, suggests strong transformation and uptake of </w:t>
      </w:r>
      <w:proofErr w:type="spellStart"/>
      <w:r w:rsidRPr="002A54A6">
        <w:t>N</w:t>
      </w:r>
      <w:r w:rsidRPr="00427599">
        <w:rPr>
          <w:vertAlign w:val="subscript"/>
        </w:rPr>
        <w:t>dep</w:t>
      </w:r>
      <w:proofErr w:type="spellEnd"/>
      <w:r w:rsidRPr="002A54A6">
        <w:t xml:space="preserve"> in the forest canopy from comparison of rainfall (RF) with </w:t>
      </w:r>
      <w:proofErr w:type="spellStart"/>
      <w:r w:rsidRPr="002A54A6">
        <w:t>throughfall</w:t>
      </w:r>
      <w:proofErr w:type="spellEnd"/>
      <w:r w:rsidRPr="002A54A6">
        <w:t xml:space="preserve"> (TF) and </w:t>
      </w:r>
      <w:proofErr w:type="spellStart"/>
      <w:r w:rsidRPr="002A54A6">
        <w:t>stemflow</w:t>
      </w:r>
      <w:proofErr w:type="spellEnd"/>
      <w:r w:rsidRPr="002A54A6">
        <w:t xml:space="preserve"> (SF) measured below the canopy.</w:t>
      </w:r>
      <w:r w:rsidR="008E35DC">
        <w:t xml:space="preserve"> An additional </w:t>
      </w:r>
      <w:r w:rsidRPr="002A54A6">
        <w:t xml:space="preserve">experiment </w:t>
      </w:r>
      <w:r w:rsidR="002A54A6" w:rsidRPr="002A54A6">
        <w:t xml:space="preserve">that uses 15N stable isotope </w:t>
      </w:r>
      <w:r w:rsidRPr="002A54A6">
        <w:t xml:space="preserve">has been </w:t>
      </w:r>
      <w:r w:rsidR="002A54A6" w:rsidRPr="002A54A6">
        <w:t xml:space="preserve">implemented to confirm the mentioned results at </w:t>
      </w:r>
      <w:r w:rsidR="00AA70C6">
        <w:t>site scale</w:t>
      </w:r>
      <w:r w:rsidR="002A54A6" w:rsidRPr="002A54A6">
        <w:t xml:space="preserve"> by applying a 15N enriched solution on 3 target trees canopies</w:t>
      </w:r>
      <w:r w:rsidR="00AA70C6">
        <w:t xml:space="preserve"> in situ</w:t>
      </w:r>
      <w:r w:rsidR="002A54A6" w:rsidRPr="002A54A6">
        <w:t xml:space="preserve">. </w:t>
      </w:r>
      <w:r w:rsidR="008E35DC">
        <w:t xml:space="preserve">This double seasonal application – one application was made in August 2016 and a second one in February 2017 </w:t>
      </w:r>
      <w:r w:rsidR="001E0C2E">
        <w:t>– has increased the natural deposition without shifting from low to high deposition numbers.</w:t>
      </w:r>
    </w:p>
    <w:p w:rsidR="00546F6B" w:rsidRDefault="001E0C2E" w:rsidP="002A54A6">
      <w:r>
        <w:t>In facts, w</w:t>
      </w:r>
      <w:r w:rsidR="00546F6B">
        <w:t xml:space="preserve">hilst </w:t>
      </w:r>
      <w:r w:rsidR="00ED1543">
        <w:t>previous studies have reported evidence of biological nitrification at canopy level only in high deposition forested sites, this study aims to show a similar process</w:t>
      </w:r>
      <w:r w:rsidR="00AC79FE" w:rsidRPr="002A54A6">
        <w:t xml:space="preserve"> in low </w:t>
      </w:r>
      <w:proofErr w:type="spellStart"/>
      <w:r w:rsidR="00AC79FE" w:rsidRPr="002A54A6">
        <w:t>N</w:t>
      </w:r>
      <w:r w:rsidR="00AC79FE" w:rsidRPr="00427599">
        <w:rPr>
          <w:vertAlign w:val="subscript"/>
        </w:rPr>
        <w:t>dep</w:t>
      </w:r>
      <w:proofErr w:type="spellEnd"/>
      <w:r w:rsidR="00AC79FE" w:rsidRPr="002A54A6">
        <w:t xml:space="preserve"> </w:t>
      </w:r>
      <w:r w:rsidR="00ED1543">
        <w:t>conifer plantations.</w:t>
      </w:r>
    </w:p>
    <w:p w:rsidR="004851BD" w:rsidRPr="00A358C0" w:rsidRDefault="004851BD" w:rsidP="002A54A6">
      <w:r w:rsidRPr="004851BD">
        <w:t xml:space="preserve">The poster proposal has been </w:t>
      </w:r>
      <w:r w:rsidR="001E0C2E" w:rsidRPr="004851BD">
        <w:t xml:space="preserve">accepted </w:t>
      </w:r>
      <w:r w:rsidR="001E0C2E">
        <w:t xml:space="preserve">by the EGU committee </w:t>
      </w:r>
      <w:r w:rsidRPr="004851BD">
        <w:t>and scheduled in the session BG1.10 - Nitrogen-transformation processes in terrestrial and aquatic ecosystems: advances in pathways-tracing, quantification and process-based modelling, on Friday, 28th of April 2017.</w:t>
      </w:r>
    </w:p>
    <w:p w:rsidR="004851BD" w:rsidRPr="001E0C2E" w:rsidRDefault="00AA70C6" w:rsidP="00A358C0">
      <w:pPr>
        <w:rPr>
          <w:b/>
        </w:rPr>
      </w:pPr>
      <w:r w:rsidRPr="00AC79FE">
        <w:rPr>
          <w:b/>
        </w:rPr>
        <w:t>Expected costs</w:t>
      </w:r>
    </w:p>
    <w:p w:rsidR="00AA70C6" w:rsidRDefault="00C050E6" w:rsidP="00A358C0">
      <w:r>
        <w:t>Note: some price are in euro if t</w:t>
      </w:r>
      <w:r w:rsidR="00546F6B">
        <w:t>hey have been booked</w:t>
      </w:r>
      <w:r>
        <w:t xml:space="preserve"> or estimated (in local currency) but not paid yet.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2410"/>
        <w:gridCol w:w="2358"/>
      </w:tblGrid>
      <w:tr w:rsidR="00AA70C6" w:rsidTr="004851BD">
        <w:tc>
          <w:tcPr>
            <w:tcW w:w="4248" w:type="dxa"/>
          </w:tcPr>
          <w:p w:rsidR="00AA70C6" w:rsidRPr="004851BD" w:rsidRDefault="00AA70C6" w:rsidP="004851BD">
            <w:pPr>
              <w:jc w:val="center"/>
              <w:rPr>
                <w:b/>
              </w:rPr>
            </w:pPr>
            <w:r w:rsidRPr="004851BD">
              <w:rPr>
                <w:b/>
              </w:rPr>
              <w:t>Invoice</w:t>
            </w:r>
          </w:p>
        </w:tc>
        <w:tc>
          <w:tcPr>
            <w:tcW w:w="2410" w:type="dxa"/>
          </w:tcPr>
          <w:p w:rsidR="00AA70C6" w:rsidRPr="004851BD" w:rsidRDefault="00AA70C6" w:rsidP="004851BD">
            <w:pPr>
              <w:jc w:val="center"/>
              <w:rPr>
                <w:b/>
              </w:rPr>
            </w:pPr>
            <w:r w:rsidRPr="004851BD">
              <w:rPr>
                <w:b/>
              </w:rPr>
              <w:t>Price in £</w:t>
            </w:r>
          </w:p>
        </w:tc>
        <w:tc>
          <w:tcPr>
            <w:tcW w:w="2358" w:type="dxa"/>
          </w:tcPr>
          <w:p w:rsidR="00AA70C6" w:rsidRPr="004851BD" w:rsidRDefault="00AA70C6" w:rsidP="004851BD">
            <w:pPr>
              <w:jc w:val="center"/>
              <w:rPr>
                <w:b/>
              </w:rPr>
            </w:pPr>
            <w:r w:rsidRPr="004851BD">
              <w:rPr>
                <w:b/>
              </w:rPr>
              <w:t>Price in €</w:t>
            </w:r>
          </w:p>
        </w:tc>
      </w:tr>
      <w:tr w:rsidR="00AA70C6" w:rsidTr="004851BD">
        <w:tc>
          <w:tcPr>
            <w:tcW w:w="4248" w:type="dxa"/>
          </w:tcPr>
          <w:p w:rsidR="00AA70C6" w:rsidRDefault="00C050E6" w:rsidP="00A358C0">
            <w:r>
              <w:t>1-way flight Edinburgh – Bologna</w:t>
            </w:r>
          </w:p>
        </w:tc>
        <w:tc>
          <w:tcPr>
            <w:tcW w:w="2410" w:type="dxa"/>
          </w:tcPr>
          <w:p w:rsidR="00AA70C6" w:rsidRDefault="00C050E6" w:rsidP="00546F6B">
            <w:pPr>
              <w:ind w:right="743"/>
              <w:jc w:val="right"/>
            </w:pPr>
            <w:r>
              <w:t>44.87</w:t>
            </w:r>
          </w:p>
        </w:tc>
        <w:tc>
          <w:tcPr>
            <w:tcW w:w="2358" w:type="dxa"/>
          </w:tcPr>
          <w:p w:rsidR="00AA70C6" w:rsidRDefault="00AA70C6" w:rsidP="00546F6B">
            <w:pPr>
              <w:ind w:right="833"/>
              <w:jc w:val="right"/>
            </w:pPr>
          </w:p>
        </w:tc>
      </w:tr>
      <w:tr w:rsidR="00AA70C6" w:rsidTr="004851BD">
        <w:tc>
          <w:tcPr>
            <w:tcW w:w="4248" w:type="dxa"/>
          </w:tcPr>
          <w:p w:rsidR="00AA70C6" w:rsidRDefault="00C050E6" w:rsidP="00A358C0">
            <w:r>
              <w:t>Venice – Wien (train)</w:t>
            </w:r>
          </w:p>
        </w:tc>
        <w:tc>
          <w:tcPr>
            <w:tcW w:w="2410" w:type="dxa"/>
          </w:tcPr>
          <w:p w:rsidR="00AA70C6" w:rsidRDefault="00546F6B" w:rsidP="00546F6B">
            <w:pPr>
              <w:ind w:right="743"/>
              <w:jc w:val="right"/>
            </w:pPr>
            <w:r>
              <w:t>27.62</w:t>
            </w:r>
          </w:p>
        </w:tc>
        <w:tc>
          <w:tcPr>
            <w:tcW w:w="2358" w:type="dxa"/>
          </w:tcPr>
          <w:p w:rsidR="00AA70C6" w:rsidRDefault="00546F6B" w:rsidP="00546F6B">
            <w:pPr>
              <w:ind w:right="833"/>
              <w:jc w:val="right"/>
            </w:pPr>
            <w:r>
              <w:t>32</w:t>
            </w:r>
            <w:r w:rsidR="00C050E6">
              <w:t>.00</w:t>
            </w:r>
          </w:p>
        </w:tc>
      </w:tr>
      <w:tr w:rsidR="00AA70C6" w:rsidTr="004851BD">
        <w:tc>
          <w:tcPr>
            <w:tcW w:w="4248" w:type="dxa"/>
          </w:tcPr>
          <w:p w:rsidR="00AA70C6" w:rsidRDefault="00C050E6" w:rsidP="00A358C0">
            <w:proofErr w:type="spellStart"/>
            <w:r>
              <w:t>Accomodation</w:t>
            </w:r>
            <w:proofErr w:type="spellEnd"/>
            <w:r>
              <w:t xml:space="preserve"> (Airbnb)</w:t>
            </w:r>
          </w:p>
        </w:tc>
        <w:tc>
          <w:tcPr>
            <w:tcW w:w="2410" w:type="dxa"/>
          </w:tcPr>
          <w:p w:rsidR="00AA70C6" w:rsidRDefault="00C050E6" w:rsidP="00546F6B">
            <w:pPr>
              <w:ind w:right="743"/>
              <w:jc w:val="right"/>
            </w:pPr>
            <w:r>
              <w:t>416.00</w:t>
            </w:r>
          </w:p>
        </w:tc>
        <w:tc>
          <w:tcPr>
            <w:tcW w:w="2358" w:type="dxa"/>
          </w:tcPr>
          <w:p w:rsidR="00AA70C6" w:rsidRDefault="00AA70C6" w:rsidP="00546F6B">
            <w:pPr>
              <w:ind w:right="833"/>
              <w:jc w:val="right"/>
            </w:pPr>
          </w:p>
        </w:tc>
      </w:tr>
      <w:tr w:rsidR="00AA70C6" w:rsidTr="004851BD">
        <w:tc>
          <w:tcPr>
            <w:tcW w:w="4248" w:type="dxa"/>
          </w:tcPr>
          <w:p w:rsidR="00AA70C6" w:rsidRDefault="00C050E6" w:rsidP="00A358C0">
            <w:r>
              <w:t>Wien - Edinburgh</w:t>
            </w:r>
          </w:p>
        </w:tc>
        <w:tc>
          <w:tcPr>
            <w:tcW w:w="2410" w:type="dxa"/>
          </w:tcPr>
          <w:p w:rsidR="00AA70C6" w:rsidRDefault="00C050E6" w:rsidP="00546F6B">
            <w:pPr>
              <w:ind w:right="743"/>
              <w:jc w:val="right"/>
            </w:pPr>
            <w:r>
              <w:t>176.95</w:t>
            </w:r>
          </w:p>
        </w:tc>
        <w:tc>
          <w:tcPr>
            <w:tcW w:w="2358" w:type="dxa"/>
          </w:tcPr>
          <w:p w:rsidR="00AA70C6" w:rsidRDefault="00AA70C6" w:rsidP="00546F6B">
            <w:pPr>
              <w:ind w:right="833"/>
              <w:jc w:val="right"/>
            </w:pPr>
          </w:p>
        </w:tc>
      </w:tr>
      <w:tr w:rsidR="00AA70C6" w:rsidTr="004851BD">
        <w:tc>
          <w:tcPr>
            <w:tcW w:w="4248" w:type="dxa"/>
          </w:tcPr>
          <w:p w:rsidR="00AA70C6" w:rsidRDefault="00C050E6" w:rsidP="00A358C0">
            <w:r>
              <w:t>Wien public transportation</w:t>
            </w:r>
          </w:p>
        </w:tc>
        <w:tc>
          <w:tcPr>
            <w:tcW w:w="2410" w:type="dxa"/>
          </w:tcPr>
          <w:p w:rsidR="00AA70C6" w:rsidRDefault="00546F6B" w:rsidP="00546F6B">
            <w:pPr>
              <w:ind w:right="743"/>
              <w:jc w:val="right"/>
            </w:pPr>
            <w:r>
              <w:t>28.22</w:t>
            </w:r>
          </w:p>
        </w:tc>
        <w:tc>
          <w:tcPr>
            <w:tcW w:w="2358" w:type="dxa"/>
          </w:tcPr>
          <w:p w:rsidR="00AA70C6" w:rsidRDefault="00546F6B" w:rsidP="00546F6B">
            <w:pPr>
              <w:ind w:right="833"/>
              <w:jc w:val="right"/>
            </w:pPr>
            <w:r>
              <w:t>32.70</w:t>
            </w:r>
          </w:p>
        </w:tc>
      </w:tr>
      <w:tr w:rsidR="004851BD" w:rsidTr="004851BD">
        <w:tc>
          <w:tcPr>
            <w:tcW w:w="4248" w:type="dxa"/>
          </w:tcPr>
          <w:p w:rsidR="004851BD" w:rsidRPr="00546F6B" w:rsidRDefault="004851BD" w:rsidP="00A358C0">
            <w:pPr>
              <w:rPr>
                <w:b/>
              </w:rPr>
            </w:pPr>
            <w:r w:rsidRPr="00546F6B">
              <w:rPr>
                <w:b/>
              </w:rPr>
              <w:t>Total expenditure (</w:t>
            </w:r>
            <w:proofErr w:type="spellStart"/>
            <w:r w:rsidRPr="00546F6B">
              <w:rPr>
                <w:b/>
              </w:rPr>
              <w:t>travel+accommodation</w:t>
            </w:r>
            <w:proofErr w:type="spellEnd"/>
            <w:r w:rsidRPr="00546F6B">
              <w:rPr>
                <w:b/>
              </w:rPr>
              <w:t>)</w:t>
            </w:r>
          </w:p>
        </w:tc>
        <w:tc>
          <w:tcPr>
            <w:tcW w:w="2410" w:type="dxa"/>
          </w:tcPr>
          <w:p w:rsidR="004851BD" w:rsidRPr="00546F6B" w:rsidRDefault="00546F6B" w:rsidP="00546F6B">
            <w:pPr>
              <w:ind w:right="743"/>
              <w:jc w:val="right"/>
              <w:rPr>
                <w:b/>
              </w:rPr>
            </w:pPr>
            <w:r w:rsidRPr="00546F6B">
              <w:rPr>
                <w:b/>
              </w:rPr>
              <w:t>693.66</w:t>
            </w:r>
          </w:p>
        </w:tc>
        <w:tc>
          <w:tcPr>
            <w:tcW w:w="2358" w:type="dxa"/>
          </w:tcPr>
          <w:p w:rsidR="004851BD" w:rsidRDefault="004851BD" w:rsidP="00546F6B">
            <w:pPr>
              <w:ind w:right="833"/>
              <w:jc w:val="right"/>
            </w:pPr>
          </w:p>
        </w:tc>
      </w:tr>
    </w:tbl>
    <w:p w:rsidR="00A358C0" w:rsidRPr="004851BD" w:rsidRDefault="00A358C0" w:rsidP="004851B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358C0" w:rsidRPr="00345649" w:rsidRDefault="00ED1543" w:rsidP="004141AE">
      <w:pPr>
        <w:spacing w:before="100" w:beforeAutospacing="1" w:after="12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345649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Contribution of the work to be funded to the research project</w:t>
      </w:r>
    </w:p>
    <w:p w:rsidR="00A358C0" w:rsidRDefault="00ED1543" w:rsidP="004141AE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The participation at the EGU conference allows to present the project to a wide international audience. It comes at a stage in which the final results of the overall project are not available yet, but it allows to share the intermediate findings and get feedback from researchers</w:t>
      </w:r>
      <w:r w:rsidR="0034564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that may help in the finalisation of the project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as well as </w:t>
      </w:r>
      <w:r w:rsidR="0034564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giving an opportunity for </w:t>
      </w:r>
      <w:proofErr w:type="spellStart"/>
      <w:r w:rsidR="00345649">
        <w:rPr>
          <w:rFonts w:ascii="Times New Roman" w:eastAsia="Times New Roman" w:hAnsi="Times New Roman" w:cs="Times New Roman"/>
          <w:sz w:val="24"/>
          <w:szCs w:val="24"/>
          <w:lang w:eastAsia="en-GB"/>
        </w:rPr>
        <w:t>proficuous</w:t>
      </w:r>
      <w:proofErr w:type="spellEnd"/>
      <w:r w:rsidR="0034564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networking on the area of forest interaction with </w:t>
      </w:r>
      <w:proofErr w:type="spellStart"/>
      <w:r w:rsidR="00345649">
        <w:rPr>
          <w:rFonts w:ascii="Times New Roman" w:eastAsia="Times New Roman" w:hAnsi="Times New Roman" w:cs="Times New Roman"/>
          <w:sz w:val="24"/>
          <w:szCs w:val="24"/>
          <w:lang w:eastAsia="en-GB"/>
        </w:rPr>
        <w:t>N</w:t>
      </w:r>
      <w:r w:rsidR="00345649" w:rsidRPr="00345649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GB"/>
        </w:rPr>
        <w:t>dep</w:t>
      </w:r>
      <w:proofErr w:type="spellEnd"/>
      <w:r w:rsidR="0034564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N cycle in forest, </w:t>
      </w:r>
      <w:r w:rsidR="004339CF">
        <w:rPr>
          <w:rFonts w:ascii="Times New Roman" w:eastAsia="Times New Roman" w:hAnsi="Times New Roman" w:cs="Times New Roman"/>
          <w:sz w:val="24"/>
          <w:szCs w:val="24"/>
          <w:lang w:eastAsia="en-GB"/>
        </w:rPr>
        <w:t>isotope-based studies on forest interaction with atmosphere and soil.</w:t>
      </w:r>
    </w:p>
    <w:p w:rsidR="00345649" w:rsidRDefault="00345649" w:rsidP="004141AE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45649" w:rsidRPr="004339CF" w:rsidRDefault="004339CF" w:rsidP="008E35DC">
      <w:pPr>
        <w:spacing w:before="100" w:beforeAutospacing="1" w:after="12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4339CF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lastRenderedPageBreak/>
        <w:t>Supervisors:</w:t>
      </w:r>
    </w:p>
    <w:p w:rsidR="004339CF" w:rsidRDefault="004339CF" w:rsidP="004141AE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339CF"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>1</w:t>
      </w:r>
      <w:r w:rsidRPr="004339CF">
        <w:rPr>
          <w:rFonts w:ascii="Times New Roman" w:eastAsia="Times New Roman" w:hAnsi="Times New Roman" w:cs="Times New Roman"/>
          <w:sz w:val="24"/>
          <w:szCs w:val="24"/>
          <w:u w:val="single"/>
          <w:vertAlign w:val="superscript"/>
          <w:lang w:eastAsia="en-GB"/>
        </w:rPr>
        <w:t>st</w:t>
      </w:r>
      <w:r w:rsidRPr="004339CF"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 xml:space="preserve"> supervisor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Prof.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Kate Heal – University of Edinburgh</w:t>
      </w:r>
    </w:p>
    <w:p w:rsidR="00345649" w:rsidRDefault="004339CF" w:rsidP="004141AE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Co-supervisors: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Prof.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David Reay – University of Edinburgh</w:t>
      </w:r>
    </w:p>
    <w:p w:rsidR="004339CF" w:rsidRDefault="004339CF" w:rsidP="004141AE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Dr.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Nadeem Shah – Forest Research</w:t>
      </w:r>
    </w:p>
    <w:p w:rsidR="004339CF" w:rsidRDefault="004339CF" w:rsidP="004141AE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339CF" w:rsidRPr="00DF5843" w:rsidRDefault="001E0C2E" w:rsidP="004141AE">
      <w:pPr>
        <w:spacing w:before="100" w:beforeAutospacing="1" w:after="12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</w:pPr>
      <w:bookmarkStart w:id="0" w:name="_GoBack"/>
      <w:r w:rsidRPr="00DF5843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 xml:space="preserve">Questions for Kate: should I explicitly state that I have not received further funding on this (see notes below)? Or should I state all the extra </w:t>
      </w:r>
      <w:proofErr w:type="spellStart"/>
      <w:r w:rsidRPr="00DF5843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fundings</w:t>
      </w:r>
      <w:proofErr w:type="spellEnd"/>
      <w:r w:rsidRPr="00DF5843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 xml:space="preserve"> I got for the project, like those for the 15N analysis</w:t>
      </w:r>
      <w:r w:rsidR="00DF5843" w:rsidRPr="00DF5843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 xml:space="preserve"> at LSMSF</w:t>
      </w:r>
      <w:r w:rsidRPr="00DF5843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?</w:t>
      </w:r>
    </w:p>
    <w:bookmarkEnd w:id="0"/>
    <w:p w:rsidR="001E0C2E" w:rsidRDefault="001E0C2E" w:rsidP="004141AE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141AE" w:rsidRPr="004141AE" w:rsidRDefault="004141AE" w:rsidP="004141AE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141AE">
        <w:rPr>
          <w:rFonts w:ascii="Times New Roman" w:eastAsia="Times New Roman" w:hAnsi="Times New Roman" w:cs="Times New Roman"/>
          <w:sz w:val="24"/>
          <w:szCs w:val="24"/>
          <w:lang w:eastAsia="en-GB"/>
        </w:rPr>
        <w:t>The maximum proposal length is 2 pages of A4 for bursary applications and 1 page of A4 for other types of funding. Applications for retrospective funding will not be considered.</w:t>
      </w:r>
    </w:p>
    <w:p w:rsidR="004141AE" w:rsidRPr="004141AE" w:rsidRDefault="004141AE" w:rsidP="004141AE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141A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Preference may be given to applicants who have little or no sources of funding as supplement beyond the standard grant, or who are self-funded. Previous successful award winners are eligible to re-apply (but should understand that, all other issues being equal, priority will be given to </w:t>
      </w:r>
      <w:r w:rsidRPr="004141A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applicants who have not received funding before from these sources of support).</w:t>
      </w:r>
    </w:p>
    <w:p w:rsidR="004141AE" w:rsidRPr="004141AE" w:rsidRDefault="004141AE" w:rsidP="004141AE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141A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Applications should be emailed to the </w:t>
      </w:r>
      <w:proofErr w:type="spellStart"/>
      <w:r w:rsidRPr="004141AE">
        <w:rPr>
          <w:rFonts w:ascii="Times New Roman" w:eastAsia="Times New Roman" w:hAnsi="Times New Roman" w:cs="Times New Roman"/>
          <w:sz w:val="24"/>
          <w:szCs w:val="24"/>
          <w:lang w:eastAsia="en-GB"/>
        </w:rPr>
        <w:t>GeoSciences</w:t>
      </w:r>
      <w:proofErr w:type="spellEnd"/>
      <w:r w:rsidRPr="004141A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PGR team </w:t>
      </w:r>
      <w:hyperlink r:id="rId4" w:history="1">
        <w:r w:rsidRPr="004141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pgrsupport@geos.ed.ac.uk</w:t>
        </w:r>
      </w:hyperlink>
      <w:r w:rsidRPr="004141A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by </w:t>
      </w:r>
      <w:r w:rsidRPr="004141AE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 xml:space="preserve">12 noon on the deadline date of Friday 31 March </w:t>
      </w:r>
      <w:proofErr w:type="gramStart"/>
      <w:r w:rsidRPr="004141AE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 xml:space="preserve">2017 </w:t>
      </w:r>
      <w:r w:rsidRPr="004141AE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proofErr w:type="gramEnd"/>
      <w:r w:rsidRPr="004141A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A358C0" w:rsidRPr="004141AE" w:rsidRDefault="00A358C0" w:rsidP="004141AE">
      <w:pPr>
        <w:spacing w:before="100" w:beforeAutospacing="1" w:after="12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sectPr w:rsidR="00A358C0" w:rsidRPr="00414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6D2"/>
    <w:rsid w:val="0006247A"/>
    <w:rsid w:val="001E0C2E"/>
    <w:rsid w:val="002A54A6"/>
    <w:rsid w:val="00345649"/>
    <w:rsid w:val="004141AE"/>
    <w:rsid w:val="00427599"/>
    <w:rsid w:val="004339CF"/>
    <w:rsid w:val="004851BD"/>
    <w:rsid w:val="004C1D9A"/>
    <w:rsid w:val="00546F6B"/>
    <w:rsid w:val="008E35DC"/>
    <w:rsid w:val="00910727"/>
    <w:rsid w:val="00A358C0"/>
    <w:rsid w:val="00AA70C6"/>
    <w:rsid w:val="00AC79FE"/>
    <w:rsid w:val="00B82882"/>
    <w:rsid w:val="00C050E6"/>
    <w:rsid w:val="00DF5843"/>
    <w:rsid w:val="00ED1543"/>
    <w:rsid w:val="00F816D2"/>
    <w:rsid w:val="00FD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93C71D-E395-4727-A94B-1F1FA17DA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4141A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58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58C0"/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AA7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9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taffmail.ed.ac.uk/imp/compose.php?to=pgrsupport%40geos.ed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3834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FERRARETTO Daniele</dc:creator>
  <cp:keywords/>
  <dc:description/>
  <cp:lastModifiedBy>FERRARETTO Daniele</cp:lastModifiedBy>
  <cp:revision>7</cp:revision>
  <dcterms:created xsi:type="dcterms:W3CDTF">2017-03-09T12:18:00Z</dcterms:created>
  <dcterms:modified xsi:type="dcterms:W3CDTF">2017-03-23T15:16:00Z</dcterms:modified>
</cp:coreProperties>
</file>