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80"/>
        <w:jc w:val="center"/>
      </w:pPr>
      <w:r>
        <w:rPr>
          <w:rFonts w:ascii="Arial" w:cs="Arial" w:eastAsia="Arial" w:hAnsi="Arial"/>
          <w:b/>
          <w:bCs/>
          <w:color w:val="888888"/>
          <w:sz w:val="28"/>
          <w:szCs w:val="28"/>
        </w:rPr>
        <w:t xml:space="preserve">BIT2ME GROWTH</w:t>
      </w:r>
    </w:p>
    <w:p>
      <w:pPr>
        <w:spacing w:before="0" w:after="40"/>
        <w:jc w:val="center"/>
      </w:pPr>
      <w:r>
        <w:rPr>
          <w:rFonts w:ascii="Arial" w:cs="Arial" w:eastAsia="Arial" w:hAnsi="Arial"/>
          <w:b/>
          <w:bCs/>
          <w:color w:val="1A2C4E"/>
          <w:sz w:val="52"/>
          <w:szCs w:val="52"/>
        </w:rPr>
        <w:t xml:space="preserve">Marketing Metrics Framework 2026</w:t>
      </w:r>
    </w:p>
    <w:p>
      <w:pPr>
        <w:spacing w:before="0" w:after="40"/>
        <w:jc w:val="center"/>
      </w:pPr>
      <w:r>
        <w:rPr>
          <w:rFonts w:ascii="Arial" w:cs="Arial" w:eastAsia="Arial" w:hAnsi="Arial"/>
          <w:i/>
          <w:iCs/>
          <w:color w:val="888888"/>
          <w:sz w:val="24"/>
          <w:szCs w:val="24"/>
        </w:rPr>
        <w:t xml:space="preserve">The definitive guide for Growth Team</w:t>
      </w:r>
    </w:p>
    <w:p>
      <w:pPr>
        <w:spacing w:before="0" w:after="80"/>
      </w:pPr>
      <w:r>
        <w:t xml:space="preserve"/>
      </w:r>
    </w:p>
    <w:p>
      <w:pPr>
        <w:jc w:val="center"/>
      </w:pPr>
      <w:r>
        <w:rPr>
          <w:rFonts w:ascii="Arial" w:cs="Arial" w:eastAsia="Arial" w:hAnsi="Arial"/>
          <w:b/>
          <w:bCs/>
          <w:color w:val="F4A200"/>
          <w:sz w:val="20"/>
          <w:szCs w:val="20"/>
        </w:rPr>
        <w:t xml:space="preserve">FM + LC | ES | PT | EU | LATAM</w:t>
      </w:r>
    </w:p>
    <w:p>
      <w:pPr>
        <w:spacing w:before="0" w:after="240"/>
      </w:pPr>
      <w:r>
        <w:t xml:space="preserve"/>
      </w:r>
    </w:p>
    <w:p>
      <w:pPr>
        <w:pBdr>
          <w:bottom w:val="single" w:color="1E5799" w:sz="4" w:space="1"/>
        </w:pBdr>
        <w:spacing w:before="120" w:after="120"/>
      </w:pPr>
      <w:r>
        <w:t xml:space="preserve"/>
      </w:r>
    </w:p>
    <w:p>
      <w:pPr>
        <w:spacing w:before="0" w:after="80"/>
      </w:pPr>
      <w:r>
        <w:t xml:space="preserve"/>
      </w:r>
    </w:p>
    <w:p>
      <w:pPr>
        <w:jc w:val="center"/>
      </w:pPr>
      <w:r>
        <w:rPr>
          <w:rFonts w:ascii="Arial" w:cs="Arial" w:eastAsia="Arial" w:hAnsi="Arial"/>
          <w:color w:val="888888"/>
          <w:sz w:val="18"/>
          <w:szCs w:val="18"/>
        </w:rPr>
        <w:t xml:space="preserve">Owner: Daniel Ferraro, Head of Growth  |  February 2026</w:t>
      </w:r>
    </w:p>
    <w:p>
      <w:r>
        <w:br w:type="page"/>
      </w:r>
    </w:p>
    <w:p>
      <w:pPr>
        <w:pStyle w:val="Heading1"/>
        <w:spacing w:before="360" w:after="180"/>
      </w:pPr>
      <w:r>
        <w:rPr>
          <w:rFonts w:ascii="Arial" w:cs="Arial" w:eastAsia="Arial" w:hAnsi="Arial"/>
          <w:b/>
          <w:bCs/>
          <w:color w:val="1A2C4E"/>
          <w:sz w:val="32"/>
          <w:szCs w:val="32"/>
        </w:rPr>
        <w:t xml:space="preserve">0. Context: what this document is and how to use it</w:t>
      </w:r>
    </w:p>
    <w:p>
      <w:pPr>
        <w:pBdr>
          <w:bottom w:val="single" w:color="1E5799" w:sz="4" w:space="1"/>
        </w:pBdr>
        <w:spacing w:before="120" w:after="120"/>
      </w:pPr>
      <w:r>
        <w:t xml:space="preserve"/>
      </w:r>
    </w:p>
    <w:p>
      <w:pPr>
        <w:spacing w:before="0" w:after="80"/>
      </w:pPr>
      <w:r>
        <w:t xml:space="preserve"/>
      </w:r>
    </w:p>
    <w:p>
      <w:pPr>
        <w:spacing w:before="60" w:after="60"/>
      </w:pPr>
      <w:r>
        <w:rPr>
          <w:rFonts w:ascii="Arial" w:cs="Arial" w:eastAsia="Arial" w:hAnsi="Arial"/>
          <w:color w:val="4A4A4A"/>
          <w:sz w:val="20"/>
          <w:szCs w:val="20"/>
        </w:rPr>
        <w:t xml:space="preserve">This document is the Growth Team's single source of truth for metrics. It answers three questions that Pablo Campos asked the entire company to answer: what are the right metrics, what is their formula, and how do we segment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7" w:val="clear"/>
            <w:tcMar>
              <w:top w:type="dxa" w:w="120"/>
              <w:left w:type="dxa" w:w="180"/>
              <w:bottom w:type="dxa" w:w="120"/>
              <w:right w:type="dxa" w:w="180"/>
            </w:tcMar>
          </w:tcPr>
          <w:p>
            <w:r>
              <w:rPr>
                <w:rFonts w:ascii="Arial" w:cs="Arial" w:eastAsia="Arial" w:hAnsi="Arial"/>
                <w:color w:val="4A4A4A"/>
                <w:sz w:val="20"/>
                <w:szCs w:val="20"/>
              </w:rPr>
              <w:t xml:space="preserve">This is NOT a brainstorming list. Every metric here has a definition, a formula, a FM/LC tag, a regional dimension, and a recommended tracking frequency. Metrics without all five elements should not be tracked.</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How this document maps to the Google Sheet</w:t>
      </w:r>
    </w:p>
    <w:p>
      <w:pPr>
        <w:spacing w:before="60" w:after="60"/>
      </w:pPr>
      <w:r>
        <w:rPr>
          <w:rFonts w:ascii="Arial" w:cs="Arial" w:eastAsia="Arial" w:hAnsi="Arial"/>
          <w:color w:val="4A4A4A"/>
          <w:sz w:val="20"/>
          <w:szCs w:val="20"/>
        </w:rPr>
        <w:t xml:space="preserve">The Sheet Pablo referenced (the copy of Producto - Metricas) needs to follow the same 3-tier logic used by Product: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EF3D7" w:val="clear"/>
            <w:tcMar>
              <w:top w:type="dxa" w:w="100"/>
              <w:left w:type="dxa" w:w="140"/>
              <w:bottom w:type="dxa" w:w="100"/>
              <w:right w:type="dxa" w:w="140"/>
            </w:tcMar>
            <w:vAlign w:val="center"/>
          </w:tcPr>
          <w:p>
            <w:pPr>
              <w:jc w:val="center"/>
            </w:pPr>
            <w:r>
              <w:rPr>
                <w:rFonts w:ascii="Arial" w:cs="Arial" w:eastAsia="Arial" w:hAnsi="Arial"/>
                <w:b/>
                <w:bCs/>
                <w:color w:val="F4A200"/>
                <w:sz w:val="18"/>
                <w:szCs w:val="18"/>
              </w:rPr>
              <w:t xml:space="preserve">NORTH STAR</w:t>
            </w:r>
          </w:p>
        </w:tc>
        <w:tc>
          <w:tcPr>
            <w:tcW w:type="dxa" w:w="7360"/>
            <w:tcBorders>
              <w:top w:val="none" w:color="FFFFFF" w:sz="0"/>
              <w:left w:val="none" w:color="FFFFFF" w:sz="0"/>
              <w:bottom w:val="none" w:color="FFFFFF" w:sz="0"/>
              <w:right w:val="none" w:color="FFFFFF" w:sz="0"/>
            </w:tcBorders>
            <w:shd w:fill="F4F6F8" w:val="clear"/>
            <w:tcMar>
              <w:top w:type="dxa" w:w="100"/>
              <w:left w:type="dxa" w:w="140"/>
              <w:bottom w:type="dxa" w:w="100"/>
              <w:right w:type="dxa" w:w="140"/>
            </w:tcMar>
          </w:tcPr>
          <w:p>
            <w:r>
              <w:rPr>
                <w:rFonts w:ascii="Arial" w:cs="Arial" w:eastAsia="Arial" w:hAnsi="Arial"/>
                <w:color w:val="4A4A4A"/>
                <w:sz w:val="18"/>
                <w:szCs w:val="18"/>
              </w:rPr>
              <w:t xml:space="preserve">The 1-2 metrics that define success for the entire Growth team. Everything else is a lever that moves this.</w:t>
            </w:r>
          </w:p>
        </w:tc>
      </w:tr>
    </w:tbl>
    <w:p>
      <w:pPr>
        <w:spacing w:before="0"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D0E4F7" w:val="clear"/>
            <w:tcMar>
              <w:top w:type="dxa" w:w="100"/>
              <w:left w:type="dxa" w:w="140"/>
              <w:bottom w:type="dxa" w:w="100"/>
              <w:right w:type="dxa" w:w="140"/>
            </w:tcMar>
            <w:vAlign w:val="center"/>
          </w:tcPr>
          <w:p>
            <w:pPr>
              <w:jc w:val="center"/>
            </w:pPr>
            <w:r>
              <w:rPr>
                <w:rFonts w:ascii="Arial" w:cs="Arial" w:eastAsia="Arial" w:hAnsi="Arial"/>
                <w:b/>
                <w:bCs/>
                <w:color w:val="1E5799"/>
                <w:sz w:val="18"/>
                <w:szCs w:val="18"/>
              </w:rPr>
              <w:t xml:space="preserve">PRIMARY METRICS</w:t>
            </w:r>
          </w:p>
        </w:tc>
        <w:tc>
          <w:tcPr>
            <w:tcW w:type="dxa" w:w="7360"/>
            <w:tcBorders>
              <w:top w:val="none" w:color="FFFFFF" w:sz="0"/>
              <w:left w:val="none" w:color="FFFFFF" w:sz="0"/>
              <w:bottom w:val="none" w:color="FFFFFF" w:sz="0"/>
              <w:right w:val="none" w:color="FFFFFF" w:sz="0"/>
            </w:tcBorders>
            <w:shd w:fill="F4F6F8" w:val="clear"/>
            <w:tcMar>
              <w:top w:type="dxa" w:w="100"/>
              <w:left w:type="dxa" w:w="140"/>
              <w:bottom w:type="dxa" w:w="100"/>
              <w:right w:type="dxa" w:w="140"/>
            </w:tcMar>
          </w:tcPr>
          <w:p>
            <w:r>
              <w:rPr>
                <w:rFonts w:ascii="Arial" w:cs="Arial" w:eastAsia="Arial" w:hAnsi="Arial"/>
                <w:color w:val="4A4A4A"/>
                <w:sz w:val="18"/>
                <w:szCs w:val="18"/>
              </w:rPr>
              <w:t xml:space="preserve">The 5-10 metrics each channel owner reviews every week. Direct indicators of channel health.</w:t>
            </w:r>
          </w:p>
        </w:tc>
      </w:tr>
    </w:tbl>
    <w:p>
      <w:pPr>
        <w:spacing w:before="0"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4F6F8" w:val="clear"/>
            <w:tcMar>
              <w:top w:type="dxa" w:w="100"/>
              <w:left w:type="dxa" w:w="140"/>
              <w:bottom w:type="dxa" w:w="100"/>
              <w:right w:type="dxa" w:w="140"/>
            </w:tcMar>
            <w:vAlign w:val="center"/>
          </w:tcPr>
          <w:p>
            <w:pPr>
              <w:jc w:val="center"/>
            </w:pPr>
            <w:r>
              <w:rPr>
                <w:rFonts w:ascii="Arial" w:cs="Arial" w:eastAsia="Arial" w:hAnsi="Arial"/>
                <w:b/>
                <w:bCs/>
                <w:color w:val="4A4A4A"/>
                <w:sz w:val="18"/>
                <w:szCs w:val="18"/>
              </w:rPr>
              <w:t xml:space="preserve">SECONDARY METRICS</w:t>
            </w:r>
          </w:p>
        </w:tc>
        <w:tc>
          <w:tcPr>
            <w:tcW w:type="dxa" w:w="7360"/>
            <w:tcBorders>
              <w:top w:val="none" w:color="FFFFFF" w:sz="0"/>
              <w:left w:val="none" w:color="FFFFFF" w:sz="0"/>
              <w:bottom w:val="none" w:color="FFFFFF" w:sz="0"/>
              <w:right w:val="none" w:color="FFFFFF" w:sz="0"/>
            </w:tcBorders>
            <w:shd w:fill="F4F6F8" w:val="clear"/>
            <w:tcMar>
              <w:top w:type="dxa" w:w="100"/>
              <w:left w:type="dxa" w:w="140"/>
              <w:bottom w:type="dxa" w:w="100"/>
              <w:right w:type="dxa" w:w="140"/>
            </w:tcMar>
          </w:tcPr>
          <w:p>
            <w:r>
              <w:rPr>
                <w:rFonts w:ascii="Arial" w:cs="Arial" w:eastAsia="Arial" w:hAnsi="Arial"/>
                <w:color w:val="4A4A4A"/>
                <w:sz w:val="18"/>
                <w:szCs w:val="18"/>
              </w:rPr>
              <w:t xml:space="preserve">Diagnostic metrics. You only look at these when a primary metric breaks.</w:t>
            </w:r>
          </w:p>
        </w:tc>
      </w:tr>
    </w:tbl>
    <w:p>
      <w:pPr>
        <w:spacing w:before="0" w:after="24"/>
      </w:pPr>
      <w:r>
        <w:t xml:space="preserve"/>
      </w:r>
    </w:p>
    <w:p>
      <w:pPr>
        <w:spacing w:before="0" w:after="80"/>
      </w:pPr>
      <w:r>
        <w:t xml:space="preserve"/>
      </w:r>
    </w:p>
    <w:p>
      <w:pPr>
        <w:pStyle w:val="Heading2"/>
        <w:spacing w:before="280" w:after="120"/>
      </w:pPr>
      <w:r>
        <w:rPr>
          <w:rFonts w:ascii="Arial" w:cs="Arial" w:eastAsia="Arial" w:hAnsi="Arial"/>
          <w:b/>
          <w:bCs/>
          <w:color w:val="1E5799"/>
          <w:sz w:val="26"/>
          <w:szCs w:val="26"/>
        </w:rPr>
        <w:t xml:space="preserve">FM vs LC: the fundamental split</w:t>
      </w:r>
    </w:p>
    <w:p>
      <w:pPr>
        <w:spacing w:before="60" w:after="60"/>
      </w:pPr>
      <w:r>
        <w:rPr>
          <w:rFonts w:ascii="Arial" w:cs="Arial" w:eastAsia="Arial" w:hAnsi="Arial"/>
          <w:color w:val="4A4A4A"/>
          <w:sz w:val="20"/>
          <w:szCs w:val="20"/>
        </w:rPr>
        <w:t xml:space="preserve">Every metric belongs to exactly one of two stages. This split mirrors Bit2Me's internal segmentation language.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rPr>
          <w:tblHeader/>
        </w:trPr>
        <w:tc>
          <w:tcPr>
            <w:tcW w:type="dxa" w:w="28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28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measures</w:t>
            </w:r>
          </w:p>
        </w:tc>
        <w:tc>
          <w:tcPr>
            <w:tcW w:type="dxa" w:w="188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owner</w:t>
            </w:r>
          </w:p>
        </w:tc>
        <w:tc>
          <w:tcPr>
            <w:tcW w:type="dxa" w:w="188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source</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 (First Mile / Acquisition)</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Top-of-funnel: traffic, reach, new registrations, KYC completions, first deposit</w:t>
            </w:r>
          </w:p>
        </w:tc>
        <w:tc>
          <w:tcPr>
            <w:tcW w:type="dxa" w:w="18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Growth FM</w:t>
            </w:r>
          </w:p>
        </w:tc>
        <w:tc>
          <w:tcPr>
            <w:tcW w:type="dxa" w:w="18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GA4, GSC, Ads Managers, App Store Connect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 (Lifecycle / Retention)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Post-activation: engagement, repeat trading, cross-sell, reactivation, revenue</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Growth LC / CRM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Braze, Qlik, BigQuery, internal BI dashboards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2" w:val="clear"/>
            <w:tcMar>
              <w:top w:type="dxa" w:w="120"/>
              <w:left w:type="dxa" w:w="180"/>
              <w:bottom w:type="dxa" w:w="120"/>
              <w:right w:type="dxa" w:w="180"/>
            </w:tcMar>
          </w:tcPr>
          <w:p>
            <w:r>
              <w:rPr>
                <w:rFonts w:ascii="Arial" w:cs="Arial" w:eastAsia="Arial" w:hAnsi="Arial"/>
                <w:color w:val="4A4A4A"/>
                <w:sz w:val="20"/>
                <w:szCs w:val="20"/>
              </w:rPr>
              <w:t xml:space="preserve">Pablo's FM definition (confirmed by David Sales): first operation of swap, sell, purchase (Brokerage) or trade (PRO). Not signup. Not KYC. The first monetizable action.</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Regional segmentation</w:t>
      </w:r>
    </w:p>
    <w:p>
      <w:pPr>
        <w:spacing w:before="60" w:after="60"/>
      </w:pPr>
      <w:r>
        <w:rPr>
          <w:rFonts w:ascii="Arial" w:cs="Arial" w:eastAsia="Arial" w:hAnsi="Arial"/>
          <w:color w:val="4A4A4A"/>
          <w:sz w:val="20"/>
          <w:szCs w:val="20"/>
        </w:rPr>
        <w:t xml:space="preserve">All metrics must be reportable across these dimensions. Default to showing Global Total + ES + PT + EU-Other + LATAM.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5000"/>
      </w:tblGrid>
      <w:tr>
        <w:trPr>
          <w:tblHeader/>
        </w:trPr>
        <w:tc>
          <w:tcPr>
            <w:tcW w:type="dxa" w:w="16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Region</w:t>
            </w:r>
          </w:p>
        </w:tc>
        <w:tc>
          <w:tcPr>
            <w:tcW w:type="dxa" w:w="27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Markets</w:t>
            </w:r>
          </w:p>
        </w:tc>
        <w:tc>
          <w:tcPr>
            <w:tcW w:type="dxa" w:w="50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notes</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ES</w:t>
            </w:r>
          </w:p>
        </w:tc>
        <w:tc>
          <w:tcPr>
            <w:tcW w:type="dxa" w:w="2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Spain</w:t>
            </w:r>
          </w:p>
        </w:tc>
        <w:tc>
          <w:tcPr>
            <w:tcW w:type="dxa" w:w="5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Core market. Highest user base. MiCA native.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Portugal</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Active expansion. Separate dashboard (BUS-5913).</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EU-Other</w:t>
            </w:r>
          </w:p>
        </w:tc>
        <w:tc>
          <w:tcPr>
            <w:tcW w:type="dxa" w:w="2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Rest of EU (FR, DE, IT, etc.)</w:t>
            </w:r>
          </w:p>
        </w:tc>
        <w:tc>
          <w:tcPr>
            <w:tcW w:type="dxa" w:w="5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MiCA advantage. Google Ads now restricted to licensed firms.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LATAM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Argentina primary, rest of LatAm</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Different user behavior. Lower CPMs. PIX/local rails matter.</w:t>
            </w:r>
          </w:p>
        </w:tc>
      </w:tr>
    </w:tbl>
    <w:p>
      <w:pPr>
        <w:spacing w:before="0" w:after="80"/>
      </w:pPr>
      <w:r>
        <w:t xml:space="preserve"/>
      </w:r>
    </w:p>
    <w:p>
      <w:r>
        <w:br w:type="page"/>
      </w:r>
    </w:p>
    <w:p>
      <w:pPr>
        <w:pStyle w:val="Heading1"/>
        <w:spacing w:before="360" w:after="180"/>
      </w:pPr>
      <w:r>
        <w:rPr>
          <w:rFonts w:ascii="Arial" w:cs="Arial" w:eastAsia="Arial" w:hAnsi="Arial"/>
          <w:b/>
          <w:bCs/>
          <w:color w:val="1A2C4E"/>
          <w:sz w:val="32"/>
          <w:szCs w:val="32"/>
        </w:rPr>
        <w:t xml:space="preserve">1. North Star Metrics (Growth Team)</w:t>
      </w:r>
    </w:p>
    <w:p>
      <w:pPr>
        <w:pBdr>
          <w:bottom w:val="single" w:color="1E5799"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7" w:val="clear"/>
            <w:tcMar>
              <w:top w:type="dxa" w:w="120"/>
              <w:left w:type="dxa" w:w="180"/>
              <w:bottom w:type="dxa" w:w="120"/>
              <w:right w:type="dxa" w:w="180"/>
            </w:tcMar>
          </w:tcPr>
          <w:p>
            <w:r>
              <w:rPr>
                <w:rFonts w:ascii="Arial" w:cs="Arial" w:eastAsia="Arial" w:hAnsi="Arial"/>
                <w:color w:val="4A4A4A"/>
                <w:sz w:val="20"/>
                <w:szCs w:val="20"/>
              </w:rPr>
              <w:t xml:space="preserve">These are the 2 metrics the full Growth team is accountable for. They go at the top of every Council report.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900"/>
        <w:gridCol w:w="10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8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w:t>
            </w:r>
          </w:p>
        </w:tc>
        <w:tc>
          <w:tcPr>
            <w:tcW w:type="dxa" w:w="24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this one</w:t>
            </w:r>
          </w:p>
        </w:tc>
        <w:tc>
          <w:tcPr>
            <w:tcW w:type="dxa" w:w="9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10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 Transacting Users (MTUs)</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Users with &gt;= 1 completed transaction (swap / sell / purchase / trade) in rolling 28 days. Segmented: B2C vs B2B | ES / PT / EU / LATAM | Product (Broker / PRO / Earn / Loan / Card)</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This is Coinbase's primary public metric. It connects FM (activation) and LC (retention) in one number. Coinbase MTU/Verified User ratio = 7.3%. That is the benchmark to beat.</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NORTH STAR</w:t>
            </w:r>
          </w:p>
        </w:tc>
        <w:tc>
          <w:tcPr>
            <w:tcW w:type="dxa" w:w="1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 + Monthly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Blended CAC vs LTV:CAC Ratio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CAC = Total Growth Spend / New Paying Customers (MTUs). LTV = ARPU * (1 / Churn Rate). LTV:CAC target &gt;= 3:1 minimum.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Pablo specifically asked for LTV and Churn as company-level metrics. David Sales confirmed formulas: LTV = (1/churn rate) * weekly ARPU annualized. Churn Rate = 1/LT where LT comes from the activity algorithm.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NORTH STAR</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Monthly (Council)</w:t>
            </w:r>
          </w:p>
        </w:tc>
      </w:tr>
    </w:tbl>
    <w:p>
      <w:pPr>
        <w:spacing w:before="0" w:after="80"/>
      </w:pPr>
      <w:r>
        <w:t xml:space="preserve"/>
      </w:r>
    </w:p>
    <w:p>
      <w:r>
        <w:br w:type="page"/>
      </w:r>
    </w:p>
    <w:p>
      <w:pPr>
        <w:pStyle w:val="Heading1"/>
        <w:spacing w:before="360" w:after="180"/>
      </w:pPr>
      <w:r>
        <w:rPr>
          <w:rFonts w:ascii="Arial" w:cs="Arial" w:eastAsia="Arial" w:hAnsi="Arial"/>
          <w:b/>
          <w:bCs/>
          <w:color w:val="1A2C4E"/>
          <w:sz w:val="32"/>
          <w:szCs w:val="32"/>
        </w:rPr>
        <w:t xml:space="preserve">2. Channel Metrics: what to add to the Sheet</w:t>
      </w:r>
    </w:p>
    <w:p>
      <w:pPr>
        <w:pBdr>
          <w:bottom w:val="single" w:color="1E5799" w:sz="4" w:space="1"/>
        </w:pBdr>
        <w:spacing w:before="120" w:after="120"/>
      </w:pPr>
      <w:r>
        <w:t xml:space="preserve"/>
      </w:r>
    </w:p>
    <w:p>
      <w:pPr>
        <w:spacing w:before="0" w:after="80"/>
      </w:pPr>
      <w:r>
        <w:t xml:space="preserve"/>
      </w:r>
    </w:p>
    <w:p>
      <w:pPr>
        <w:spacing w:before="60" w:after="60"/>
      </w:pPr>
      <w:r>
        <w:rPr>
          <w:rFonts w:ascii="Arial" w:cs="Arial" w:eastAsia="Arial" w:hAnsi="Arial"/>
          <w:color w:val="4A4A4A"/>
          <w:sz w:val="20"/>
          <w:szCs w:val="20"/>
        </w:rPr>
        <w:t xml:space="preserve">Below are the recommended metrics for each channel, tagged by tier (North Star / Primary / Secondary), FM/LC, and frequency. This is what you add to the Marketing - Metricas 2026 Sheet.</w:t>
      </w:r>
    </w:p>
    <w:p>
      <w:pPr>
        <w:spacing w:before="0" w:after="80"/>
      </w:pPr>
      <w:r>
        <w:t xml:space="preserve"/>
      </w:r>
    </w:p>
    <w:p>
      <w:pPr>
        <w:pStyle w:val="Heading2"/>
        <w:spacing w:before="280" w:after="120"/>
      </w:pPr>
      <w:r>
        <w:rPr>
          <w:rFonts w:ascii="Arial" w:cs="Arial" w:eastAsia="Arial" w:hAnsi="Arial"/>
          <w:b/>
          <w:bCs/>
          <w:color w:val="1E5799"/>
          <w:sz w:val="26"/>
          <w:szCs w:val="26"/>
        </w:rPr>
        <w:t xml:space="preserve">2.1 SEO and GEO (AI Search Visibility)</w:t>
      </w:r>
    </w:p>
    <w:p>
      <w:pPr>
        <w:spacing w:before="60" w:after="60"/>
      </w:pPr>
      <w:r>
        <w:rPr>
          <w:rFonts w:ascii="Arial" w:cs="Arial" w:eastAsia="Arial" w:hAnsi="Arial"/>
          <w:color w:val="4A4A4A"/>
          <w:sz w:val="20"/>
          <w:szCs w:val="20"/>
        </w:rPr>
        <w:t xml:space="preserve">Lowest long-term CAC channel (~$500-1,500 per customer vs $802 for paid search). GEO is the emerging frontier: LLM-referred visitors are worth 4.4x more than conventional organic.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750"/>
        <w:gridCol w:w="900"/>
        <w:gridCol w:w="750"/>
        <w:gridCol w:w="8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9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 / Source</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 LC</w:t>
            </w:r>
          </w:p>
        </w:tc>
        <w:tc>
          <w:tcPr>
            <w:tcW w:type="dxa" w:w="9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w:t>
            </w:r>
          </w:p>
        </w:tc>
        <w:tc>
          <w:tcPr>
            <w:tcW w:type="dxa" w:w="8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Region</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Organic Signups</w:t>
            </w:r>
          </w:p>
        </w:tc>
        <w:tc>
          <w:tcPr>
            <w:tcW w:type="dxa" w:w="2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Registrations where source = organic search (GA4)</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Non-branded Organic Traffic</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Organic sessions excl. "bit2me" queries (GSC)</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All</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Organic CTR</w:t>
            </w:r>
          </w:p>
        </w:tc>
        <w:tc>
          <w:tcPr>
            <w:tcW w:type="dxa" w:w="2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Clicks / Impressions x 100 (GSC). Finance position 1: 8-15%</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ES/PT/EU/LATAM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Organic Signup Rate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Organic Signups / Organic Sessions x 100. Fintech: 1-3%</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All</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Organic FTD Rate</w:t>
            </w:r>
          </w:p>
        </w:tc>
        <w:tc>
          <w:tcPr>
            <w:tcW w:type="dxa" w:w="2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FTDs from organic users / Organic Signups x 100 (30-day window)</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w:t>
            </w:r>
          </w:p>
        </w:tc>
        <w:tc>
          <w:tcPr>
            <w:tcW w:type="dxa" w:w="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Domain Rating (DR)</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Ahrefs score. Target: 50-70 for regulated mid-tier exchange</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Monthly</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Global</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AI Citation Share (GEO)</w:t>
            </w:r>
          </w:p>
        </w:tc>
        <w:tc>
          <w:tcPr>
            <w:tcW w:type="dxa" w:w="2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(Prompts where Bit2Me is cited / Total monitored prompts) x 100. Track in ChatGPT, Gemini, Perplexity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ES/PT/EU/LATAM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AI Referral Traffic</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Sessions from chatgpt.com, perplexity.ai, bing.com/copilot (GA4)</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All</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Content Traffic Value</w:t>
            </w:r>
          </w:p>
        </w:tc>
        <w:tc>
          <w:tcPr>
            <w:tcW w:type="dxa" w:w="2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Sum of (monthly organic traffic x CPC) per keyword (Ahrefs)</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w:t>
            </w:r>
          </w:p>
        </w:tc>
        <w:tc>
          <w:tcPr>
            <w:tcW w:type="dxa" w:w="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Global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Organic User LTV</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Avg revenue per organic user x avg customer lifespan. Target LTV:CAC &gt;= 3:1</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Quarterly</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All</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2.2 Paid (SEM, Display, Social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2" w:val="clear"/>
            <w:tcMar>
              <w:top w:type="dxa" w:w="120"/>
              <w:left w:type="dxa" w:w="180"/>
              <w:bottom w:type="dxa" w:w="120"/>
              <w:right w:type="dxa" w:w="180"/>
            </w:tcMar>
          </w:tcPr>
          <w:p>
            <w:r>
              <w:rPr>
                <w:rFonts w:ascii="Arial" w:cs="Arial" w:eastAsia="Arial" w:hAnsi="Arial"/>
                <w:color w:val="4A4A4A"/>
                <w:sz w:val="20"/>
                <w:szCs w:val="20"/>
              </w:rPr>
              <w:t xml:space="preserve">MiCA advantage: Google now restricts crypto ads in EU to MiCA/CASP licensed firms (since April 2025). Fewer competitors = potentially lower CPCs. Use this in budget justification.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750"/>
        <w:gridCol w:w="900"/>
        <w:gridCol w:w="750"/>
        <w:gridCol w:w="1160"/>
      </w:tblGrid>
      <w:tr>
        <w:trPr>
          <w:tblHeader/>
        </w:trPr>
        <w:tc>
          <w:tcPr>
            <w:tcW w:type="dxa" w:w="21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7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 / Source</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 LC</w:t>
            </w:r>
          </w:p>
        </w:tc>
        <w:tc>
          <w:tcPr>
            <w:tcW w:type="dxa" w:w="9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w:t>
            </w:r>
          </w:p>
        </w:tc>
        <w:tc>
          <w:tcPr>
            <w:tcW w:type="dxa" w:w="11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Benchmark</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Cost Per Signup (CPA)</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Ad Spend / Signups. Track per platform and geo.</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Daily</w:t>
            </w:r>
          </w:p>
        </w:tc>
        <w:tc>
          <w:tcPr>
            <w:tcW w:type="dxa" w:w="1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Consumer crypto: ~$50-200</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Cost Per KYC</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Ad Spend / KYC-Completed Users</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1.5-3x Cost Per Signup</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Cost Per FTD</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Ad Spend / First-Time Depositors</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2-5x Cost Per Signup</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ROAS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Revenue attributed to ads / Ad Spend. Track by platform.</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Google Search: 4.5:1 | Meta: 2.2:1</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Impression Share</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(Impressions received / Total eligible) x 100</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Daily</w:t>
            </w:r>
          </w:p>
        </w:tc>
        <w:tc>
          <w:tcPr>
            <w:tcW w:type="dxa" w:w="1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Target 60%+ branded; 30-50% non-brand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Conversion Rate (Signup CVR)</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(Signups / Clicks) x 100 per platform</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Daily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Finance paid search: 2.55%; crypto: 1.5-5%</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Signup-to-KYC Rate</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(KYC completed / Signups) x 100. From paid cohort.</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Best-in-class: 50-65%</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KYC-to-FTD Rate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(FTDs / KYC Completed)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40-70%; lower in bear markets</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CAC Payback Period</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CAC / (Monthly ARPU x Gross Margin %)</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w:t>
            </w:r>
          </w:p>
        </w:tc>
        <w:tc>
          <w:tcPr>
            <w:tcW w:type="dxa" w:w="1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Target &lt; 12 months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Quality Score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Google: 1-10. Meta: relevance diagnostics.</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Google: aim 7+ (reduces CPC 16-50%)</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2.3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2" w:val="clear"/>
            <w:tcMar>
              <w:top w:type="dxa" w:w="120"/>
              <w:left w:type="dxa" w:w="180"/>
              <w:bottom w:type="dxa" w:w="120"/>
              <w:right w:type="dxa" w:w="180"/>
            </w:tcMar>
          </w:tcPr>
          <w:p>
            <w:r>
              <w:rPr>
                <w:rFonts w:ascii="Arial" w:cs="Arial" w:eastAsia="Arial" w:hAnsi="Arial"/>
                <w:color w:val="4A4A4A"/>
                <w:sz w:val="20"/>
                <w:szCs w:val="20"/>
              </w:rPr>
              <w:t xml:space="preserve">Best CAC channel in fintech: $141-200 vs $802 for paid search. Referred customers cost 53% of non-referral CAC and show 15-25% higher LTV. MiCA does not prohibit referral incentives.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750"/>
        <w:gridCol w:w="900"/>
        <w:gridCol w:w="750"/>
        <w:gridCol w:w="11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6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 / Source</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 LC</w:t>
            </w:r>
          </w:p>
        </w:tc>
        <w:tc>
          <w:tcPr>
            <w:tcW w:type="dxa" w:w="9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w:t>
            </w:r>
          </w:p>
        </w:tc>
        <w:tc>
          <w:tcPr>
            <w:tcW w:type="dxa" w:w="11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Benchmark</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K-Factor (Viral Coefficient)</w:t>
            </w:r>
          </w:p>
        </w:tc>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 = invites per user x conversion rate. K &gt; 1 = viral.</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w:t>
            </w:r>
          </w:p>
        </w:tc>
        <w:tc>
          <w:tcPr>
            <w:tcW w:type="dxa" w:w="1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Consumer fintech: 0.3-0.7 steady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Referral Conversion Rate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(Referred signups / Referral link clicks)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10-30% (trust factor)</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Referral Program CAC</w:t>
            </w:r>
          </w:p>
        </w:tc>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(Rewards paid + program costs) / Qualified referred users</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w:t>
            </w:r>
          </w:p>
        </w:tc>
        <w:tc>
          <w:tcPr>
            <w:tcW w:type="dxa" w:w="1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40-60% of paid CAC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Referral Funnel Completion Rate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(Referred users completing signup-KYC-FTD-first trade / Referred signups)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20-40% (higher than paid due to trust)</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Referral Share Rate</w:t>
            </w:r>
          </w:p>
        </w:tc>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(Users who shared referral link / Total eligible users) x 100</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Fintech: 5-15%; crypto promo: 10-20%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Referral Fraud Rate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(Flagged/invalid referrals / Total claims)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Keep &lt; 5%</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Referred vs Non-Referred LTV</w:t>
            </w:r>
          </w:p>
        </w:tc>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Avg LTV referred / Avg LTV non-referred</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Quarterly</w:t>
            </w:r>
          </w:p>
        </w:tc>
        <w:tc>
          <w:tcPr>
            <w:tcW w:type="dxa" w:w="1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Referred: +15-25% higher LTV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Referral Program ROI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(Revenue from referred users - Program costs) / Program costs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Quarterly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Target 200%+; well-run programs: 300-500%</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2.4 Organic Social</w:t>
      </w:r>
    </w:p>
    <w:p>
      <w:pPr>
        <w:spacing w:before="60" w:after="60"/>
      </w:pPr>
      <w:r>
        <w:rPr>
          <w:rFonts w:ascii="Arial" w:cs="Arial" w:eastAsia="Arial" w:hAnsi="Arial"/>
          <w:color w:val="4A4A4A"/>
          <w:sz w:val="20"/>
          <w:szCs w:val="20"/>
        </w:rPr>
        <w:t xml:space="preserve">Social drives only ~2.1% of fintech web traffic (Promodo 2026), but crypto audiences are more engaged. Instagram delivers 3.8% engagement rate for financial services. Community metrics (Telegram, Discord) are critical for crypto.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750"/>
        <w:gridCol w:w="900"/>
        <w:gridCol w:w="750"/>
        <w:gridCol w:w="1060"/>
      </w:tblGrid>
      <w:tr>
        <w:trPr>
          <w:tblHeader/>
        </w:trPr>
        <w:tc>
          <w:tcPr>
            <w:tcW w:type="dxa" w:w="21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8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 / Source</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 LC</w:t>
            </w:r>
          </w:p>
        </w:tc>
        <w:tc>
          <w:tcPr>
            <w:tcW w:type="dxa" w:w="9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w:t>
            </w:r>
          </w:p>
        </w:tc>
        <w:tc>
          <w:tcPr>
            <w:tcW w:type="dxa" w:w="10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Benchmark</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Engagement Rate by Platform</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(Likes + comments + shares + saves + clicks) / Followers x 100</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IG: 3.8% | LinkedIn: 3.2% | X: 2.1% | TikTok: 1.6%</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Audience Growth 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(Followers end - start) / Followers start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IG weekly: ~2.26%; TikTok: ~0.98%</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Social Referral Traffic</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Sessions from organic social (GA4 referral data)</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Social = ~2.1% fintech web traffic</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Social-to-Signup Attribution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(Signups from social / Total signups) x 100 (UTM)</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Track via UTM; no universal crypto benchmark</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Brand Sentiment Score</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Weighted avg sentiment (-100 to +100) of brand mentions via NLP</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1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Regulatory/outage events create -5x spikes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Telegram/Discord DAM 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Daily Active Members / Total Members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Daily</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Healthy crypto Telegram: 5-15%</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Share of Voice (SOV)</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(Brand mentions / Brand + competitor mentions) x 100</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w:t>
            </w:r>
          </w:p>
        </w:tc>
        <w:tc>
          <w:tcPr>
            <w:tcW w:type="dxa" w:w="1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Mid-tier target: 5-15% in primary markets</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2.5 Email / CRM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7" w:val="clear"/>
            <w:tcMar>
              <w:top w:type="dxa" w:w="120"/>
              <w:left w:type="dxa" w:w="180"/>
              <w:bottom w:type="dxa" w:w="120"/>
              <w:right w:type="dxa" w:w="180"/>
            </w:tcMar>
          </w:tcPr>
          <w:p>
            <w:r>
              <w:rPr>
                <w:rFonts w:ascii="Arial" w:cs="Arial" w:eastAsia="Arial" w:hAnsi="Arial"/>
                <w:color w:val="4A4A4A"/>
                <w:sz w:val="20"/>
                <w:szCs w:val="20"/>
              </w:rPr>
              <w:t xml:space="preserve">73% of fintech app users abandon within the first week. The first 7 days are decisive. The crypto funnel: Signup -&gt; KYC -&gt; FTD -&gt; First Trade -&gt; Repeat Trading -&gt; Dormancy -&gt; Reactivation.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750"/>
        <w:gridCol w:w="900"/>
        <w:gridCol w:w="750"/>
        <w:gridCol w:w="960"/>
      </w:tblGrid>
      <w:tr>
        <w:trPr>
          <w:tblHeader/>
        </w:trPr>
        <w:tc>
          <w:tcPr>
            <w:tcW w:type="dxa" w:w="23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7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 / Source</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 LC</w:t>
            </w:r>
          </w:p>
        </w:tc>
        <w:tc>
          <w:tcPr>
            <w:tcW w:type="dxa" w:w="9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w:t>
            </w:r>
          </w:p>
        </w:tc>
        <w:tc>
          <w:tcPr>
            <w:tcW w:type="dxa" w:w="9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Benchmark</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KYC Completion Rate</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(KYC completions / Registration starts) x 100. From Braze + BI.</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Daily</w:t>
            </w:r>
          </w:p>
        </w:tc>
        <w:tc>
          <w:tcPr>
            <w:tcW w:type="dxa" w:w="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Best-in-class: 60-75%; each extra 60s onboarding = 40% more drop-off</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Time-to-First-Deposit (TTFD)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Median days from account creation to first deposit</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Target &lt; 48h card; &lt; 5 days bank transfer</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Signup-to-First-Trade Rate</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(Users with first trade / Registered users) x 100. 30-day window.</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Only 21% convert in first week; 15-30% within 30 days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Email Open Rate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(Unique opens / Delivered) x 100. Use Braze Estimated Real Open Rate (post-MPP).</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Per campaign + Weekly</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Financial services: 21-26.5%</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Email CTR</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(Unique clicks / Delivered) x 100</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Per campaign</w:t>
            </w:r>
          </w:p>
        </w:tc>
        <w:tc>
          <w:tcPr>
            <w:tcW w:type="dxa" w:w="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Financial services: 2.72-4.4%</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Push Notification CTR</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(Taps / Opt-in recipients)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Per campaign</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Fintech Android: 2.84%; iOS: 2.09%; segmented: up to 16.3%</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 Active Trader Rate</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(Users with &gt;= 1 trade / Total verified users) x 100</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w:t>
            </w:r>
          </w:p>
        </w:tc>
        <w:tc>
          <w:tcPr>
            <w:tcW w:type="dxa" w:w="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Coinbase MTU/Verified: ~7.3%</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Dormant User Reactivation Rate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(Dormant users who trade within 30 days of win-back / Targeted)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Monthly</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Tier 1 (recent): 15-25%; Tier 3 (180+ days): 2-5%</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Cohort Retention D1/D7/D30</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 of signup cohort active at Day 1, 7, 14, 30, 60, 90</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 cohort</w:t>
            </w:r>
          </w:p>
        </w:tc>
        <w:tc>
          <w:tcPr>
            <w:tcW w:type="dxa" w:w="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Crypto D30: 18%; fintech benchmark: 11.6%</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Click-to-Open Rate (CTOR)</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(Unique clicks / Unique opens)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Per campaign</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Financial services: 8-12%</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Churn Risk Score</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ML-predicted probability (0-100%) user will not return in 30 days. From BI activity algorithm.</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Daily</w:t>
            </w:r>
          </w:p>
        </w:tc>
        <w:tc>
          <w:tcPr>
            <w:tcW w:type="dxa" w:w="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Reducing churn 5% = profits +25-95%</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Cost Per Reactivation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(Win-back campaign costs + incentives) / Reactivated users</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Per campaign</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Target 20-40% of new user CAC</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2.6 Influencers and Affiliates</w:t>
      </w:r>
    </w:p>
    <w:p>
      <w:pPr>
        <w:spacing w:before="60" w:after="60"/>
      </w:pPr>
      <w:r>
        <w:rPr>
          <w:rFonts w:ascii="Arial" w:cs="Arial" w:eastAsia="Arial" w:hAnsi="Arial"/>
          <w:color w:val="4A4A4A"/>
          <w:sz w:val="20"/>
          <w:szCs w:val="20"/>
        </w:rPr>
        <w:t xml:space="preserve">Crypto influencers average ~5.2% engagement rate. The key metric is CPA-FTD, not just CPA-signup. Quality traffic converts to deposits; vanity traffic does not.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750"/>
        <w:gridCol w:w="900"/>
        <w:gridCol w:w="750"/>
        <w:gridCol w:w="860"/>
      </w:tblGrid>
      <w:tr>
        <w:trPr>
          <w:tblHeader/>
        </w:trPr>
        <w:tc>
          <w:tcPr>
            <w:tcW w:type="dxa" w:w="24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7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 / Source</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 LC</w:t>
            </w:r>
          </w:p>
        </w:tc>
        <w:tc>
          <w:tcPr>
            <w:tcW w:type="dxa" w:w="9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w:t>
            </w:r>
          </w:p>
        </w:tc>
        <w:tc>
          <w:tcPr>
            <w:tcW w:type="dxa" w:w="8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Benchmark</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Influencer-Attributed FTDs (CPA-FTD)</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FTDs from influencer traffic / Campaign cost. CPA-FTD = Cost / FTDs.</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CPA-FTD: $50-300+; signup-to-FTD: 20-40%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Influencer-Attributed Signups (CPA)</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Signups via tracked link or promo code. CPA = Cost / Signups.</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Crypto exchange influencer CPA: $5-50</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Audience Quality Score (AQS)</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Composite (1-100): % real followers, engagement authenticity, comment quality. Use HypeAuditor.</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Pre-partnership</w:t>
            </w:r>
          </w:p>
        </w:tc>
        <w:tc>
          <w:tcPr>
            <w:tcW w:type="dxa" w:w="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AQS &gt;= 60 = good; median fake follower %: 21-27%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Engagement Rate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(Likes + comments + shares) / Followers x 100. Per influencer post.</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Per post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Crypto avg: ~5.2%; micro-influencers: 5-12%</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Influencer ROAS</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Revenue from influencer-attributed users / Influencer spend</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w:t>
            </w:r>
          </w:p>
        </w:tc>
        <w:tc>
          <w:tcPr>
            <w:tcW w:type="dxa" w:w="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Target minimum 3:1 performance; brand awareness: 1:1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Affiliate Commission Payout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Referred user trading fees x Commission Rate %</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Daily settlement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Binance: 40-50% RevShare; Bybit: 30-50%</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Affiliate Quality Score / LTV</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Avg LTV of affiliate-referred users / Avg LTV of all users</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Quarterly</w:t>
            </w:r>
          </w:p>
        </w:tc>
        <w:tc>
          <w:tcPr>
            <w:tcW w:type="dxa" w:w="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High quality: referred LTV &gt;= 80% of organic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Earned Media Value (EMV)</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Sum of (Impressions x platform CPM) + (Engagements x platform CPE)</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Per campaign</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Influencer content: 2-3x more trust than display</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2.7 App Store Optimization (ASO)</w:t>
      </w:r>
    </w:p>
    <w:p>
      <w:pPr>
        <w:spacing w:before="60" w:after="60"/>
      </w:pPr>
      <w:r>
        <w:rPr>
          <w:rFonts w:ascii="Arial" w:cs="Arial" w:eastAsia="Arial" w:hAnsi="Arial"/>
          <w:color w:val="4A4A4A"/>
          <w:sz w:val="20"/>
          <w:szCs w:val="20"/>
        </w:rPr>
        <w:t xml:space="preserve">iOS Finance CVR (US): ~34% vs Google Play: ~19.7%. EU conversion gap is huge: US 13.4% organic impression-to-install vs France 1.8%, Germany 1.6%. Organic ASO users have 3-5x higher LTV than paid.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750"/>
        <w:gridCol w:w="900"/>
        <w:gridCol w:w="750"/>
        <w:gridCol w:w="760"/>
      </w:tblGrid>
      <w:tr>
        <w:trPr>
          <w:tblHeader/>
        </w:trPr>
        <w:tc>
          <w:tcPr>
            <w:tcW w:type="dxa" w:w="24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8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 / Source</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 LC</w:t>
            </w:r>
          </w:p>
        </w:tc>
        <w:tc>
          <w:tcPr>
            <w:tcW w:type="dxa" w:w="9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75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w:t>
            </w:r>
          </w:p>
        </w:tc>
        <w:tc>
          <w:tcPr>
            <w:tcW w:type="dxa" w:w="7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Benchmark</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Install Conversion Rate (CVR)</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iOS: App Units / Unique Impressions x 100. Android: First-time Acquisitions / Listing Visitors x 100.</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Daily</w:t>
            </w:r>
          </w:p>
        </w:tc>
        <w:tc>
          <w:tcPr>
            <w:tcW w:type="dxa" w:w="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iOS Finance (US): ~34%; Android: ~19.7%; EU: 1.6-14.8% depending on country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Organic Install Volume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Installs per period from organic ASO. Track branded vs non-branded.</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Daily</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Target 5-15% MoM growth</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Keyword Rankings</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Rank position (1-250+) per keyword per country per store (iOS/Android)</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Daily</w:t>
            </w:r>
          </w:p>
        </w:tc>
        <w:tc>
          <w:tcPr>
            <w:tcW w:type="dxa" w:w="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Top 10 = meaningful traffic; target top 10 on 50+ keywords per market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Ratings and Reviews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Avg star rating; rating velocity (new ratings/period); sentiment NLP.</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Daily</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Target &gt;= 4.5 stars; 1K+ ratings per market</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Post-Install Funnel (Install-Signup-KYC-FTD-Trade)</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CVR at each step, segmented by acquisition source and country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Signup-to-KYC: 40-65%; 76% fintech users convert in 7 days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Uninstall / Retention 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D-N Retention = Active Day N / Installs Day 0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Primary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Daily cohort</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Fintech D30 retention: 4.5% (CleverTap); ASO organic: 3-5x higher LTV than paid</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Search Visibility Score</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Composite: rank_weight x keyword_volume across all ranked keywords (AppTweak)</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Weekly</w:t>
            </w:r>
          </w:p>
        </w:tc>
        <w:tc>
          <w:tcPr>
            <w:tcW w:type="dxa" w:w="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Benchmark vs Binance, Coinbase, Crypto.com per market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Custom Product Page (CPP) Lift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(CPP CVR - Default CVR) / Default CVR x 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Secondary</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Per experiment</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Only 31% of apps use CPPs; lifts up to +8.6%</w:t>
            </w:r>
          </w:p>
        </w:tc>
      </w:tr>
    </w:tbl>
    <w:p>
      <w:pPr>
        <w:spacing w:before="0" w:after="80"/>
      </w:pPr>
      <w:r>
        <w:t xml:space="preserve"/>
      </w:r>
    </w:p>
    <w:p>
      <w:r>
        <w:br w:type="page"/>
      </w:r>
    </w:p>
    <w:p>
      <w:pPr>
        <w:pStyle w:val="Heading1"/>
        <w:spacing w:before="360" w:after="180"/>
      </w:pPr>
      <w:r>
        <w:rPr>
          <w:rFonts w:ascii="Arial" w:cs="Arial" w:eastAsia="Arial" w:hAnsi="Arial"/>
          <w:b/>
          <w:bCs/>
          <w:color w:val="1A2C4E"/>
          <w:sz w:val="32"/>
          <w:szCs w:val="32"/>
        </w:rPr>
        <w:t xml:space="preserve">3. The Activation Funnel: the most important view</w:t>
      </w:r>
    </w:p>
    <w:p>
      <w:pPr>
        <w:pBdr>
          <w:bottom w:val="single" w:color="1E5799"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7" w:val="clear"/>
            <w:tcMar>
              <w:top w:type="dxa" w:w="120"/>
              <w:left w:type="dxa" w:w="180"/>
              <w:bottom w:type="dxa" w:w="120"/>
              <w:right w:type="dxa" w:w="180"/>
            </w:tcMar>
          </w:tcPr>
          <w:p>
            <w:r>
              <w:rPr>
                <w:rFonts w:ascii="Arial" w:cs="Arial" w:eastAsia="Arial" w:hAnsi="Arial"/>
                <w:color w:val="4A4A4A"/>
                <w:sz w:val="20"/>
                <w:szCs w:val="20"/>
              </w:rPr>
              <w:t xml:space="preserve">This is the single most impactful analysis for Bit2Me with 1.8M registered users. Coinbase has 120M verified users and only 7.3% are monthly transacting. If Bit2Me has a similar ratio, there are over 1.6M dormant verified users. Improving activation by 5 percentage points is worth more than doubling top-of-funnel spend.</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Funnel conversion benchmarks for crypto exchanges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400"/>
        <w:gridCol w:w="30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27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w:t>
            </w:r>
          </w:p>
        </w:tc>
        <w:tc>
          <w:tcPr>
            <w:tcW w:type="dxa" w:w="14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Benchmark</w:t>
            </w:r>
          </w:p>
        </w:tc>
        <w:tc>
          <w:tcPr>
            <w:tcW w:type="dxa" w:w="30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Bit2Me action</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Visitor to Signup</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Signups / Unique Sessions x 100</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2-5%</w:t>
            </w:r>
          </w:p>
        </w:tc>
        <w:tc>
          <w:tcPr>
            <w:tcW w:type="dxa" w:w="3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A/B test landing pages by traffic source and market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Signup to KYC Started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(KYC Started / Signups) x 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60-80%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Immediate prompt; do not let user leave without starting KYC</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KYC Started to KYC Complete</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(KYC Complete / KYC Started) x 100</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50-70%</w:t>
            </w:r>
          </w:p>
        </w:tc>
        <w:tc>
          <w:tcPr>
            <w:tcW w:type="dxa" w:w="3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63% never finish KYC (Sardine.ai). Document upload failure = 40-45% of complaints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KYC to FTD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(FTDs / KYC Complete) x 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30-50%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SEPA and local payment rail integration is the lever here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FTD to First Trade</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(First Trades / FTDs) x 100</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70-90%</w:t>
            </w:r>
          </w:p>
        </w:tc>
        <w:tc>
          <w:tcPr>
            <w:tcW w:type="dxa" w:w="3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Gap = UX friction. Run targeted push/email within 24h of deposit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First Trade to Active Month 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(Active M1 / First Trades) x 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20-40%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Onboarding journey: price alerts, staking offer, next asset</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Active to Month 3 Retained</w:t>
            </w:r>
          </w:p>
        </w:tc>
        <w:tc>
          <w:tcPr>
            <w:tcW w:type="dxa" w:w="2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(Active M3 / Active M1) x 100</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15-30%</w:t>
            </w:r>
          </w:p>
        </w:tc>
        <w:tc>
          <w:tcPr>
            <w:tcW w:type="dxa" w:w="3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Highly correlated with market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Verified User to MTU (overall)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(MTUs / Total Verified Users) x 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7-13%</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Coinbase peaked at 13%, now 7.3%. This is the North Star gap.</w:t>
            </w:r>
          </w:p>
        </w:tc>
      </w:tr>
    </w:tbl>
    <w:p>
      <w:pPr>
        <w:spacing w:before="0" w:after="80"/>
      </w:pPr>
      <w:r>
        <w:t xml:space="preserve"/>
      </w:r>
    </w:p>
    <w:p>
      <w:r>
        <w:br w:type="page"/>
      </w:r>
    </w:p>
    <w:p>
      <w:pPr>
        <w:pStyle w:val="Heading1"/>
        <w:spacing w:before="360" w:after="180"/>
      </w:pPr>
      <w:r>
        <w:rPr>
          <w:rFonts w:ascii="Arial" w:cs="Arial" w:eastAsia="Arial" w:hAnsi="Arial"/>
          <w:b/>
          <w:bCs/>
          <w:color w:val="1A2C4E"/>
          <w:sz w:val="32"/>
          <w:szCs w:val="32"/>
        </w:rPr>
        <w:t xml:space="preserve">4. Unit Economics: the metrics Pablo and David Sales own</w:t>
      </w:r>
    </w:p>
    <w:p>
      <w:pPr>
        <w:pBdr>
          <w:bottom w:val="single" w:color="1E5799" w:sz="4" w:space="1"/>
        </w:pBdr>
        <w:spacing w:before="120" w:after="120"/>
      </w:pPr>
      <w:r>
        <w:t xml:space="preserve"/>
      </w:r>
    </w:p>
    <w:p>
      <w:pPr>
        <w:spacing w:before="0" w:after="80"/>
      </w:pPr>
      <w:r>
        <w:t xml:space="preserve"/>
      </w:r>
    </w:p>
    <w:p>
      <w:pPr>
        <w:spacing w:before="60" w:after="60"/>
      </w:pPr>
      <w:r>
        <w:rPr>
          <w:rFonts w:ascii="Arial" w:cs="Arial" w:eastAsia="Arial" w:hAnsi="Arial"/>
          <w:color w:val="4A4A4A"/>
          <w:sz w:val="20"/>
          <w:szCs w:val="20"/>
        </w:rPr>
        <w:t xml:space="preserve">These are the company-level metrics Pablo Campos said he will work directly with David Sales on. Growth Team needs to know these formulas and reference them in all channel analysis, but does not calculate them independently.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rPr>
          <w:tblHeader/>
        </w:trPr>
        <w:tc>
          <w:tcPr>
            <w:tcW w:type="dxa" w:w="18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3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 (confirmed by David Sales)</w:t>
            </w:r>
          </w:p>
        </w:tc>
        <w:tc>
          <w:tcPr>
            <w:tcW w:type="dxa" w:w="20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23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LTV</w:t>
            </w:r>
          </w:p>
        </w:tc>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(1 / Churn Rate) x Weekly ARPU (annualized). Or: ARPU x (1 / Churn Rate).</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B2C and B2B separately | ES / PT / EU / LATAM | Product</w:t>
            </w:r>
          </w:p>
        </w:tc>
        <w:tc>
          <w:tcPr>
            <w:tcW w:type="dxa" w:w="2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LTV ready for Earn, PRO, Broker per Pablo Talamantes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Churn Rate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1 / LT (Lifetime). LT obtained from activity algorithm.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Same as LTV</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Algorithm already built in BI. Ask Pablo Talamantes for access to algorithm definition.</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Blended CAC</w:t>
            </w:r>
          </w:p>
        </w:tc>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Total Marketing + Sales Spend / New Paying Customers (MTUs)</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By channel | By region | Monthly</w:t>
            </w:r>
          </w:p>
        </w:tc>
        <w:tc>
          <w:tcPr>
            <w:tcW w:type="dxa" w:w="2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Benchmark: consumer crypto ~$50-300. Up 9-12% YoY.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LTV:CAC Ratio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LTV / CAC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By channel, region, cohort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Target: &gt;= 3:1. Below 1:1 = losing money. Ideal: 4:1.</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CAC Payback Period</w:t>
            </w:r>
          </w:p>
        </w:tc>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CAC / (Monthly ARPU x Gross Margin %)</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By channel, cohort</w:t>
            </w:r>
          </w:p>
        </w:tc>
        <w:tc>
          <w:tcPr>
            <w:tcW w:type="dxa" w:w="2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Target &lt; 12 months consumer. Bull market: 1-3 months.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ARPU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Total Revenue (fees + spread + staking + card) / Monthly Active Users. Segment by product.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B2C / B2B | Region | Product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Coinbase ARPU ~$64/mo (bull 2021). Varies heavily with market cycles.</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MER (Marketing Efficiency Ratio)</w:t>
            </w:r>
          </w:p>
        </w:tc>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Total Revenue / Total Marketing Spend</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Global then by channel</w:t>
            </w:r>
          </w:p>
        </w:tc>
        <w:tc>
          <w:tcPr>
            <w:tcW w:type="dxa" w:w="2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Blended ROAS. No attribution model needed. 2025 avg: 3.9x-6.4x.</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120"/>
              <w:left w:type="dxa" w:w="180"/>
              <w:bottom w:type="dxa" w:w="120"/>
              <w:right w:type="dxa" w:w="180"/>
            </w:tcMar>
          </w:tcPr>
          <w:p>
            <w:r>
              <w:rPr>
                <w:rFonts w:ascii="Arial" w:cs="Arial" w:eastAsia="Arial" w:hAnsi="Arial"/>
                <w:color w:val="4A4A4A"/>
                <w:sz w:val="20"/>
                <w:szCs w:val="20"/>
              </w:rPr>
              <w:t xml:space="preserve">FM definition agreed in Slack (David Sales, Jan 27): swap, sell, purchase of Brokerage and trades of PRO. Loan FM: user with loan request submitted (not necessarily approved). This definition determines which users count in MTU and CAC calculations.</w:t>
            </w:r>
          </w:p>
        </w:tc>
      </w:tr>
    </w:tbl>
    <w:p>
      <w:pPr>
        <w:spacing w:before="0" w:after="80"/>
      </w:pPr>
      <w:r>
        <w:t xml:space="preserve"/>
      </w:r>
    </w:p>
    <w:p>
      <w:r>
        <w:br w:type="page"/>
      </w:r>
    </w:p>
    <w:p>
      <w:pPr>
        <w:pStyle w:val="Heading1"/>
        <w:spacing w:before="360" w:after="180"/>
      </w:pPr>
      <w:r>
        <w:rPr>
          <w:rFonts w:ascii="Arial" w:cs="Arial" w:eastAsia="Arial" w:hAnsi="Arial"/>
          <w:b/>
          <w:bCs/>
          <w:color w:val="1A2C4E"/>
          <w:sz w:val="32"/>
          <w:szCs w:val="32"/>
        </w:rPr>
        <w:t xml:space="preserve">5. Google Sheet structure for Marketing - Metricas 2026</w:t>
      </w:r>
    </w:p>
    <w:p>
      <w:pPr>
        <w:pBdr>
          <w:bottom w:val="single" w:color="1E5799" w:sz="4" w:space="1"/>
        </w:pBdr>
        <w:spacing w:before="120" w:after="120"/>
      </w:pPr>
      <w:r>
        <w:t xml:space="preserve"/>
      </w:r>
    </w:p>
    <w:p>
      <w:pPr>
        <w:spacing w:before="0" w:after="80"/>
      </w:pPr>
      <w:r>
        <w:t xml:space="preserve"/>
      </w:r>
    </w:p>
    <w:p>
      <w:pPr>
        <w:spacing w:before="60" w:after="60"/>
      </w:pPr>
      <w:r>
        <w:rPr>
          <w:rFonts w:ascii="Arial" w:cs="Arial" w:eastAsia="Arial" w:hAnsi="Arial"/>
          <w:color w:val="4A4A4A"/>
          <w:sz w:val="20"/>
          <w:szCs w:val="20"/>
        </w:rPr>
        <w:t xml:space="preserve">This is the tab structure for the Sheet that Patri Gargallo created as a copy of Producto - Metricas. Follow the same 3-tier logic (North Star / Primary / Secondary).</w:t>
      </w:r>
    </w:p>
    <w:p>
      <w:pPr>
        <w:spacing w:before="0" w:after="80"/>
      </w:pPr>
      <w:r>
        <w:t xml:space="preserve"/>
      </w:r>
    </w:p>
    <w:p>
      <w:pPr>
        <w:pStyle w:val="Heading2"/>
        <w:spacing w:before="280" w:after="120"/>
      </w:pPr>
      <w:r>
        <w:rPr>
          <w:rFonts w:ascii="Arial" w:cs="Arial" w:eastAsia="Arial" w:hAnsi="Arial"/>
          <w:b/>
          <w:bCs/>
          <w:color w:val="1E5799"/>
          <w:sz w:val="26"/>
          <w:szCs w:val="26"/>
        </w:rPr>
        <w:t xml:space="preserve">Recommended tab structure (13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w:t>
            </w:r>
          </w:p>
        </w:tc>
        <w:tc>
          <w:tcPr>
            <w:tcW w:type="dxa" w:w="50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w:t>
            </w:r>
          </w:p>
        </w:tc>
        <w:tc>
          <w:tcPr>
            <w:tcW w:type="dxa" w:w="21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EXECUTIVE SUMMARY</w:t>
            </w:r>
          </w:p>
        </w:tc>
        <w:tc>
          <w:tcPr>
            <w:tcW w:type="dxa" w:w="5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North Star (MTUs + LTV:CAC), blended CAC, full funnel, revenue by product, budget vs actual by channel, regional summary</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Daniel Ferraro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UNIT ECONOMICS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CAC by channel, LTV by cohort (12-month), LTV:CAC by channel, payback period, MER, ARPU by product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Daniel + David Sales</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SEO / GEO</w:t>
            </w:r>
          </w:p>
        </w:tc>
        <w:tc>
          <w:tcPr>
            <w:tcW w:type="dxa" w:w="5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15 metrics from Section 2.1. Columns: Metric | Definition | FM/LC | Source | ES | PT | EU | LATAM | Target | Actual | Status</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Diego (content) + Daniel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PAID</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10 metrics from Section 2.2 | Same column structure | Platform split (Google/Meta/TikTok/X)</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Daniel / Maxim</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REFERRALS</w:t>
            </w:r>
          </w:p>
        </w:tc>
        <w:tc>
          <w:tcPr>
            <w:tcW w:type="dxa" w:w="5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8 metrics from Section 2.3</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Katy / Miguel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ORGANIC SOCIAL</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7 metrics from Section 2.4 | Platform split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Diego</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EMAIL / CRM</w:t>
            </w:r>
          </w:p>
        </w:tc>
        <w:tc>
          <w:tcPr>
            <w:tcW w:type="dxa" w:w="5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12 metrics from Section 2.5. Link to Braze dashboards.</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Katy / Miguel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INFLUENCERS / AFFILIATES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8 metrics from Section 2.6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Daniel</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ASO</w:t>
            </w:r>
          </w:p>
        </w:tc>
        <w:tc>
          <w:tcPr>
            <w:tcW w:type="dxa" w:w="5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8 metrics from Section 2.7. iOS + Android separate.</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Daniel / Maxim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REGIONAL BREAKDOWN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Same primary metrics sliced by ES / PT / EU-Other / LATAM. Regional CAC and funnel comparison.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Maxim</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COHORT ANALYSIS</w:t>
            </w:r>
          </w:p>
        </w:tc>
        <w:tc>
          <w:tcPr>
            <w:tcW w:type="dxa" w:w="5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Monthly acquisition cohorts | Retention matrix (Month 0-12) | Revenue per cohort | Cumulative LTV</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Maxim + David Sales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TARGETS + DEFINITIONS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Every metric definition, formula, data source, refresh cadence, and target value. This is the reference tab.</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Daniel</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RAW DATA</w:t>
            </w:r>
          </w:p>
        </w:tc>
        <w:tc>
          <w:tcPr>
            <w:tcW w:type="dxa" w:w="5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Source data for calculations. Do not edit directly.</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Pablo Talamantes / BI team</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Column structure for each channel tab</w:t>
      </w:r>
    </w:p>
    <w:p>
      <w:pPr>
        <w:spacing w:before="60" w:after="60"/>
      </w:pPr>
      <w:r>
        <w:rPr>
          <w:rFonts w:ascii="Arial" w:cs="Arial" w:eastAsia="Arial" w:hAnsi="Arial"/>
          <w:color w:val="4A4A4A"/>
          <w:sz w:val="20"/>
          <w:szCs w:val="20"/>
        </w:rPr>
        <w:t xml:space="preserve">Use this consistent structure across all channel tabs so the data is queryable by BigQuery and readable by Pablo Campos in Council.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9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Metric Name</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Text</w:t>
            </w:r>
          </w:p>
        </w:tc>
        <w:tc>
          <w:tcPr>
            <w:tcW w:type="dxa" w:w="5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Exact name. No abbreviations.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Definition / Formula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Full formula with numerator and denominator. Reference Bit2me internal definitions where they exist (e.g. FM = swap/sell/purchase/trade).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 / LC Tag</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Dropdown</w:t>
            </w:r>
          </w:p>
        </w:tc>
        <w:tc>
          <w:tcPr>
            <w:tcW w:type="dxa" w:w="5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FM-Awareness | FM-Consideration | FM-Conversion | LC-Activation | LC-Revenue | LC-Retention | LC-Reactivation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Tier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Dropdown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North Star | Primary | Secondary</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Data Source</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Text</w:t>
            </w:r>
          </w:p>
        </w:tc>
        <w:tc>
          <w:tcPr>
            <w:tcW w:type="dxa" w:w="5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GSC | GA4 | Google Ads | Meta Ads | Braze | Qlik | BigQuery | App Store Connect | Manual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Frequency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Dropdown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Real-time | Daily | Weekly | Monthly | Quarterly</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Spain</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Number</w:t>
            </w:r>
          </w:p>
        </w:tc>
        <w:tc>
          <w:tcPr>
            <w:tcW w:type="dxa" w:w="5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Current period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Portugal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Number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Current period value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EU-Other</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Number</w:t>
            </w:r>
          </w:p>
        </w:tc>
        <w:tc>
          <w:tcPr>
            <w:tcW w:type="dxa" w:w="5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Current period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LATAM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Number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Current period value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Global Total</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Formula</w:t>
            </w:r>
          </w:p>
        </w:tc>
        <w:tc>
          <w:tcPr>
            <w:tcW w:type="dxa" w:w="5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=SUM(Spain:LATAM)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Target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Number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Period target. Set in Sprint planning.</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Actual</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Formula</w:t>
            </w:r>
          </w:p>
        </w:tc>
        <w:tc>
          <w:tcPr>
            <w:tcW w:type="dxa" w:w="5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 Global Total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Variance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Formula</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=(Actual - Target) / Target</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Status</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Formula</w:t>
            </w:r>
          </w:p>
        </w:tc>
        <w:tc>
          <w:tcPr>
            <w:tcW w:type="dxa" w:w="5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=IF(Variance% &gt;= 0, "GREEN", IF(Variance% &gt;= -0.1, "YELLOW", "RED"))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Prior Period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Number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Last period value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 Change vs Prior</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Formula</w:t>
            </w:r>
          </w:p>
        </w:tc>
        <w:tc>
          <w:tcPr>
            <w:tcW w:type="dxa" w:w="5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=(Actual - Prior) / Prior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Notes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Campaign context, market events, data caveats.</w:t>
            </w:r>
          </w:p>
        </w:tc>
      </w:tr>
    </w:tbl>
    <w:p>
      <w:pPr>
        <w:spacing w:before="0" w:after="80"/>
      </w:pPr>
      <w:r>
        <w:t xml:space="preserve"/>
      </w:r>
    </w:p>
    <w:p>
      <w:r>
        <w:br w:type="page"/>
      </w:r>
    </w:p>
    <w:p>
      <w:pPr>
        <w:pStyle w:val="Heading1"/>
        <w:spacing w:before="360" w:after="180"/>
      </w:pPr>
      <w:r>
        <w:rPr>
          <w:rFonts w:ascii="Arial" w:cs="Arial" w:eastAsia="Arial" w:hAnsi="Arial"/>
          <w:b/>
          <w:bCs/>
          <w:color w:val="1A2C4E"/>
          <w:sz w:val="32"/>
          <w:szCs w:val="32"/>
        </w:rPr>
        <w:t xml:space="preserve">6. How to run this: operational guide for the Growth Team</w:t>
      </w:r>
    </w:p>
    <w:p>
      <w:pPr>
        <w:pBdr>
          <w:bottom w:val="single" w:color="1E5799" w:sz="4" w:space="1"/>
        </w:pBdr>
        <w:spacing w:before="120" w:after="120"/>
      </w:pPr>
      <w:r>
        <w:t xml:space="preserve"/>
      </w:r>
    </w:p>
    <w:p>
      <w:pPr>
        <w:spacing w:before="0" w:after="80"/>
      </w:pPr>
      <w:r>
        <w:t xml:space="preserve"/>
      </w:r>
    </w:p>
    <w:p>
      <w:pPr>
        <w:pStyle w:val="Heading2"/>
        <w:spacing w:before="280" w:after="120"/>
      </w:pPr>
      <w:r>
        <w:rPr>
          <w:rFonts w:ascii="Arial" w:cs="Arial" w:eastAsia="Arial" w:hAnsi="Arial"/>
          <w:b/>
          <w:bCs/>
          <w:color w:val="1E5799"/>
          <w:sz w:val="26"/>
          <w:szCs w:val="26"/>
        </w:rPr>
        <w:t xml:space="preserve">Weekly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000"/>
        <w:gridCol w:w="1960"/>
      </w:tblGrid>
      <w:tr>
        <w:trPr>
          <w:tblHeader/>
        </w:trPr>
        <w:tc>
          <w:tcPr>
            <w:tcW w:type="dxa" w:w="14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Day</w:t>
            </w:r>
          </w:p>
        </w:tc>
        <w:tc>
          <w:tcPr>
            <w:tcW w:type="dxa" w:w="40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20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w:t>
            </w:r>
          </w:p>
        </w:tc>
        <w:tc>
          <w:tcPr>
            <w:tcW w:type="dxa" w:w="19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w:t>
            </w:r>
          </w:p>
        </w:tc>
      </w:tr>
      <w:tr>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Monday</w:t>
            </w:r>
          </w:p>
        </w:tc>
        <w:tc>
          <w:tcPr>
            <w:tcW w:type="dxa" w:w="4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Pull prior week metrics. Update Sheet. Flag any RED status.</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Maxim (analyst)</w:t>
            </w:r>
          </w:p>
        </w:tc>
        <w:tc>
          <w:tcPr>
            <w:tcW w:type="dxa" w:w="1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2 hours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Tuesday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Channel owner review. Each person verifies their tab. Investigate any reds.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All channel owners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1 hour</w:t>
            </w:r>
          </w:p>
        </w:tc>
      </w:tr>
      <w:tr>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Wednesday</w:t>
            </w:r>
          </w:p>
        </w:tc>
        <w:tc>
          <w:tcPr>
            <w:tcW w:type="dxa" w:w="4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Daniel reviews Executive Summary. Prepares any Council-bound data.</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Daniel</w:t>
            </w:r>
          </w:p>
        </w:tc>
        <w:tc>
          <w:tcPr>
            <w:tcW w:type="dxa" w:w="1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1 hour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Thursday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A/B test review. Any live experiments: read results, decide go/no-go on scale.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Daniel + Maxim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1 hour</w:t>
            </w:r>
          </w:p>
        </w:tc>
      </w:tr>
      <w:tr>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Friday</w:t>
            </w:r>
          </w:p>
        </w:tc>
        <w:tc>
          <w:tcPr>
            <w:tcW w:type="dxa" w:w="4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Sprint planning input. What experiments run next week? What do we escalate to Pablo?</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Daniel</w:t>
            </w:r>
          </w:p>
        </w:tc>
        <w:tc>
          <w:tcPr>
            <w:tcW w:type="dxa" w:w="1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30 min</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Monthly rhythm (Council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20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w:t>
            </w:r>
          </w:p>
        </w:tc>
        <w:tc>
          <w:tcPr>
            <w:tcW w:type="dxa" w:w="33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Deadline</w:t>
            </w:r>
          </w:p>
        </w:tc>
      </w:tr>
      <w:tr>
        <w:tc>
          <w:tcPr>
            <w:tcW w:type="dxa" w:w="4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Update Cohort Analysis tab with new monthly cohort</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Maxim</w:t>
            </w:r>
          </w:p>
        </w:tc>
        <w:tc>
          <w:tcPr>
            <w:tcW w:type="dxa" w:w="3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First Monday of month</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Calculate blended CAC and LTV:CAC ratio for prior month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Daniel + David Sales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First Tuesday</w:t>
            </w:r>
          </w:p>
        </w:tc>
      </w:tr>
      <w:tr>
        <w:tc>
          <w:tcPr>
            <w:tcW w:type="dxa" w:w="4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Prepare Executive Summary for Council. One slide: MTUs + CAC + LTV:CAC + funnel conversion rates + channel breakdown.</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Daniel</w:t>
            </w:r>
          </w:p>
        </w:tc>
        <w:tc>
          <w:tcPr>
            <w:tcW w:type="dxa" w:w="3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By Council date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Escalate any metrics that need BigQuery automation to Data sprint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Daniel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Sprint kickoff meeting</w:t>
            </w:r>
          </w:p>
        </w:tc>
      </w:tr>
    </w:tbl>
    <w:p>
      <w:pPr>
        <w:spacing w:before="0" w:after="80"/>
      </w:pPr>
      <w:r>
        <w:t xml:space="preserve"/>
      </w:r>
    </w:p>
    <w:p>
      <w:pPr>
        <w:pStyle w:val="Heading2"/>
        <w:spacing w:before="280" w:after="120"/>
      </w:pPr>
      <w:r>
        <w:rPr>
          <w:rFonts w:ascii="Arial" w:cs="Arial" w:eastAsia="Arial" w:hAnsi="Arial"/>
          <w:b/>
          <w:bCs/>
          <w:color w:val="1E5799"/>
          <w:sz w:val="26"/>
          <w:szCs w:val="26"/>
        </w:rPr>
        <w:t xml:space="preserve">How to request data from the BI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120"/>
              <w:left w:type="dxa" w:w="180"/>
              <w:bottom w:type="dxa" w:w="120"/>
              <w:right w:type="dxa" w:w="180"/>
            </w:tcMar>
          </w:tcPr>
          <w:p>
            <w:r>
              <w:rPr>
                <w:rFonts w:ascii="Arial" w:cs="Arial" w:eastAsia="Arial" w:hAnsi="Arial"/>
                <w:color w:val="4A4A4A"/>
                <w:sz w:val="20"/>
                <w:szCs w:val="20"/>
              </w:rPr>
              <w:t xml:space="preserve">David Sales (Jan 27): "This first iteration you have to complete it yourselves. As we progress and metrics are clear, from Data we will create gold layers, calculations will be ready and information will be consumed from BigQuery as the source of everything." Do not send BI requests without a clear metric definition and formula first.</w:t>
            </w:r>
          </w:p>
        </w:tc>
      </w:tr>
    </w:tbl>
    <w:p>
      <w:pPr>
        <w:spacing w:before="0" w:after="80"/>
      </w:pPr>
      <w:r>
        <w:t xml:space="preserve"/>
      </w:r>
    </w:p>
    <w:p>
      <w:pPr>
        <w:spacing w:before="60" w:after="60"/>
      </w:pPr>
      <w:r>
        <w:rPr>
          <w:rFonts w:ascii="Arial" w:cs="Arial" w:eastAsia="Arial" w:hAnsi="Arial"/>
          <w:color w:val="4A4A4A"/>
          <w:sz w:val="20"/>
          <w:szCs w:val="20"/>
        </w:rPr>
        <w:t xml:space="preserve">Before requesting anything from Pablo Talamantes or David Sales, you need to have documented in the Sheet:</w:t>
      </w:r>
    </w:p>
    <w:p>
      <w:pPr>
        <w:spacing w:before="0" w:after="40"/>
      </w:pPr>
      <w:r>
        <w:t xml:space="preserve"/>
      </w:r>
    </w:p>
    <w:p>
      <w:pPr>
        <w:pStyle w:val="ListParagraph"/>
        <w:numPr>
          <w:ilvl w:val="0"/>
          <w:numId w:val="2"/>
        </w:numPr>
      </w:pPr>
      <w:r>
        <w:rPr>
          <w:rFonts w:ascii="Arial" w:cs="Arial" w:eastAsia="Arial" w:hAnsi="Arial"/>
          <w:sz w:val="20"/>
          <w:szCs w:val="20"/>
        </w:rPr>
        <w:t xml:space="preserve">The metric name (exact, no abbreviations)</w:t>
      </w:r>
    </w:p>
    <w:p>
      <w:pPr>
        <w:pStyle w:val="ListParagraph"/>
        <w:numPr>
          <w:ilvl w:val="0"/>
          <w:numId w:val="2"/>
        </w:numPr>
      </w:pPr>
      <w:r>
        <w:rPr>
          <w:rFonts w:ascii="Arial" w:cs="Arial" w:eastAsia="Arial" w:hAnsi="Arial"/>
          <w:sz w:val="20"/>
          <w:szCs w:val="20"/>
        </w:rPr>
        <w:t xml:space="preserve">The formula (numerator and denominator)</w:t>
      </w:r>
    </w:p>
    <w:p>
      <w:pPr>
        <w:pStyle w:val="ListParagraph"/>
        <w:numPr>
          <w:ilvl w:val="0"/>
          <w:numId w:val="2"/>
        </w:numPr>
      </w:pPr>
      <w:r>
        <w:rPr>
          <w:rFonts w:ascii="Arial" w:cs="Arial" w:eastAsia="Arial" w:hAnsi="Arial"/>
          <w:sz w:val="20"/>
          <w:szCs w:val="20"/>
        </w:rPr>
        <w:t xml:space="preserve">The segmentation required (B2C/B2B, region, product)</w:t>
      </w:r>
    </w:p>
    <w:p>
      <w:pPr>
        <w:pStyle w:val="ListParagraph"/>
        <w:numPr>
          <w:ilvl w:val="0"/>
          <w:numId w:val="2"/>
        </w:numPr>
      </w:pPr>
      <w:r>
        <w:rPr>
          <w:rFonts w:ascii="Arial" w:cs="Arial" w:eastAsia="Arial" w:hAnsi="Arial"/>
          <w:sz w:val="20"/>
          <w:szCs w:val="20"/>
        </w:rPr>
        <w:t xml:space="preserve">The refresh frequency needed (daily/weekly/monthly)</w:t>
      </w:r>
    </w:p>
    <w:p>
      <w:pPr>
        <w:pStyle w:val="ListParagraph"/>
        <w:numPr>
          <w:ilvl w:val="0"/>
          <w:numId w:val="2"/>
        </w:numPr>
      </w:pPr>
      <w:r>
        <w:rPr>
          <w:rFonts w:ascii="Arial" w:cs="Arial" w:eastAsia="Arial" w:hAnsi="Arial"/>
          <w:sz w:val="20"/>
          <w:szCs w:val="20"/>
        </w:rPr>
        <w:t xml:space="preserve">Whether it already exists in Qlik or needs a new query</w:t>
      </w:r>
    </w:p>
    <w:p>
      <w:pPr>
        <w:spacing w:before="0" w:after="80"/>
      </w:pPr>
      <w:r>
        <w:t xml:space="preserve"/>
      </w:r>
    </w:p>
    <w:p>
      <w:pPr>
        <w:pStyle w:val="Heading2"/>
        <w:spacing w:before="280" w:after="120"/>
      </w:pPr>
      <w:r>
        <w:rPr>
          <w:rFonts w:ascii="Arial" w:cs="Arial" w:eastAsia="Arial" w:hAnsi="Arial"/>
          <w:b/>
          <w:bCs/>
          <w:color w:val="1E5799"/>
          <w:sz w:val="26"/>
          <w:szCs w:val="26"/>
        </w:rPr>
        <w:t xml:space="preserve">A/B testing protocol (critical for growth at scale)</w:t>
      </w:r>
    </w:p>
    <w:p>
      <w:pPr>
        <w:spacing w:before="60" w:after="60"/>
      </w:pPr>
      <w:r>
        <w:rPr>
          <w:rFonts w:ascii="Arial" w:cs="Arial" w:eastAsia="Arial" w:hAnsi="Arial"/>
          <w:color w:val="4A4A4A"/>
          <w:sz w:val="20"/>
          <w:szCs w:val="20"/>
        </w:rPr>
        <w:t xml:space="preserve">Pablo Campos confirmed Daniel owns A/B testing for Growth. The target is 20-40 actions per sprint. These are the only metrics that matter for any A/B test: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100"/>
        <w:gridCol w:w="25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element</w:t>
            </w:r>
          </w:p>
        </w:tc>
        <w:tc>
          <w:tcPr>
            <w:tcW w:type="dxa" w:w="25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metric</w:t>
            </w:r>
          </w:p>
        </w:tc>
        <w:tc>
          <w:tcPr>
            <w:tcW w:type="dxa" w:w="21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Minimum sample</w:t>
            </w:r>
          </w:p>
        </w:tc>
        <w:tc>
          <w:tcPr>
            <w:tcW w:type="dxa" w:w="25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Confidence required</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Landing page</w:t>
            </w:r>
          </w:p>
        </w:tc>
        <w:tc>
          <w:tcPr>
            <w:tcW w:type="dxa" w:w="2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Signup CVR</w:t>
            </w:r>
          </w:p>
        </w:tc>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1,000 sessions per variant</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95%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Onboarding flow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KYC Completion Rate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500 users per variant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95%</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Email subject line</w:t>
            </w:r>
          </w:p>
        </w:tc>
        <w:tc>
          <w:tcPr>
            <w:tcW w:type="dxa" w:w="2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Open Rate (Braze estimated real)</w:t>
            </w:r>
          </w:p>
        </w:tc>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1,000 emails per variant</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90%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Push notification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Tap CTR -&gt; action (not just tap)</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2,000 sends per variant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90%</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Deposit flow</w:t>
            </w:r>
          </w:p>
        </w:tc>
        <w:tc>
          <w:tcPr>
            <w:tcW w:type="dxa" w:w="2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FTD Rate within 48h</w:t>
            </w:r>
          </w:p>
        </w:tc>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500 users per variant</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95%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Win-back campaign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Reactivation Rate (trade within 30 days)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200 dormant users per variant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90%</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Referral incentive</w:t>
            </w:r>
          </w:p>
        </w:tc>
        <w:tc>
          <w:tcPr>
            <w:tcW w:type="dxa" w:w="2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K-Factor and CPA-FTD (not just CPA-signup)</w:t>
            </w:r>
          </w:p>
        </w:tc>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1,000 shares per variant</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95%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ASO creative (CPP)</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Install CVR from product page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5,000 impressions per variant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95%</w:t>
            </w:r>
          </w:p>
        </w:tc>
      </w:tr>
    </w:tbl>
    <w:p>
      <w:pPr>
        <w:spacing w:before="0" w:after="80"/>
      </w:pPr>
      <w:r>
        <w:t xml:space="preserve"/>
      </w:r>
    </w:p>
    <w:p>
      <w:r>
        <w:br w:type="page"/>
      </w:r>
    </w:p>
    <w:p>
      <w:pPr>
        <w:pStyle w:val="Heading1"/>
        <w:spacing w:before="360" w:after="180"/>
      </w:pPr>
      <w:r>
        <w:rPr>
          <w:rFonts w:ascii="Arial" w:cs="Arial" w:eastAsia="Arial" w:hAnsi="Arial"/>
          <w:b/>
          <w:bCs/>
          <w:color w:val="1A2C4E"/>
          <w:sz w:val="32"/>
          <w:szCs w:val="32"/>
        </w:rPr>
        <w:t xml:space="preserve">7. How to evaluate the brainstorm metrics from Pablo</w:t>
      </w:r>
    </w:p>
    <w:p>
      <w:pPr>
        <w:pBdr>
          <w:bottom w:val="single" w:color="1E5799" w:sz="4" w:space="1"/>
        </w:pBdr>
        <w:spacing w:before="120" w:after="120"/>
      </w:pPr>
      <w:r>
        <w:t xml:space="preserve"/>
      </w:r>
    </w:p>
    <w:p>
      <w:pPr>
        <w:spacing w:before="0" w:after="80"/>
      </w:pPr>
      <w:r>
        <w:t xml:space="preserve"/>
      </w:r>
    </w:p>
    <w:p>
      <w:pPr>
        <w:spacing w:before="60" w:after="60"/>
      </w:pPr>
      <w:r>
        <w:rPr>
          <w:rFonts w:ascii="Arial" w:cs="Arial" w:eastAsia="Arial" w:hAnsi="Arial"/>
          <w:color w:val="4A4A4A"/>
          <w:sz w:val="20"/>
          <w:szCs w:val="20"/>
        </w:rPr>
        <w:t xml:space="preserve">Pablo Campos shared an initial brainstorm with the interns. He said explicitly: "do not consider all of these correct, it is only an initial brainstorm." Before adding any metric from that brainstorm to the official Sheet, run it through this filter.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w:t>
            </w:r>
          </w:p>
        </w:tc>
        <w:tc>
          <w:tcPr>
            <w:tcW w:type="dxa" w:w="48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If NO: action</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Can you write the exact formula? (numerator / denominator)</w:t>
            </w:r>
          </w:p>
        </w:tc>
        <w:tc>
          <w:tcPr>
            <w:tcW w:type="dxa" w:w="4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Do not add. Write the formula first.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Does the data source exist in GA4, Braze, Qlik, or BigQuery today?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Flag as "Pending data source". Do not populate until the source is confirmed.</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Is there a decision that changes based on this metric?</w:t>
            </w:r>
          </w:p>
        </w:tc>
        <w:tc>
          <w:tcPr>
            <w:tcW w:type="dxa" w:w="4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Remove. A metric with no decision attached is decoration.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Is it genuinely different from another metric already in the Sheet?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Remove or merge. Avoid duplicate metrics with different names.</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Can it be segmented by region (ES/PT/EU/LATAM) and FM vs LC?</w:t>
            </w:r>
          </w:p>
        </w:tc>
        <w:tc>
          <w:tcPr>
            <w:tcW w:type="dxa" w:w="4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Add segmentation before including it.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Does it connect to MTUs or LTV:CAC (the North Stars)?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If not, it belongs in Secondary tier at best.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2" w:val="clear"/>
            <w:tcMar>
              <w:top w:type="dxa" w:w="120"/>
              <w:left w:type="dxa" w:w="180"/>
              <w:bottom w:type="dxa" w:w="120"/>
              <w:right w:type="dxa" w:w="180"/>
            </w:tcMar>
          </w:tcPr>
          <w:p>
            <w:r>
              <w:rPr>
                <w:rFonts w:ascii="Arial" w:cs="Arial" w:eastAsia="Arial" w:hAnsi="Arial"/>
                <w:color w:val="4A4A4A"/>
                <w:sz w:val="20"/>
                <w:szCs w:val="20"/>
              </w:rPr>
              <w:t xml:space="preserve">The metrics in Sections 2.1-2.7 of this document have already passed this filter. Add the brainstorm metrics that pass it to those sections. Remove the ones that do not.</w:t>
            </w:r>
          </w:p>
        </w:tc>
      </w:tr>
    </w:tbl>
    <w:p>
      <w:pPr>
        <w:spacing w:before="0" w:after="80"/>
      </w:pPr>
      <w:r>
        <w:t xml:space="preserve"/>
      </w:r>
    </w:p>
    <w:p>
      <w:r>
        <w:br w:type="page"/>
      </w:r>
    </w:p>
    <w:p>
      <w:pPr>
        <w:pStyle w:val="Heading1"/>
        <w:spacing w:before="360" w:after="180"/>
      </w:pPr>
      <w:r>
        <w:rPr>
          <w:rFonts w:ascii="Arial" w:cs="Arial" w:eastAsia="Arial" w:hAnsi="Arial"/>
          <w:b/>
          <w:bCs/>
          <w:color w:val="1A2C4E"/>
          <w:sz w:val="32"/>
          <w:szCs w:val="32"/>
        </w:rPr>
        <w:t xml:space="preserve">8. Connecting marketing metrics to the Qlik clusters</w:t>
      </w:r>
    </w:p>
    <w:p>
      <w:pPr>
        <w:pBdr>
          <w:bottom w:val="single" w:color="1E5799" w:sz="4" w:space="1"/>
        </w:pBdr>
        <w:spacing w:before="120" w:after="120"/>
      </w:pPr>
      <w:r>
        <w:t xml:space="preserve"/>
      </w:r>
    </w:p>
    <w:p>
      <w:pPr>
        <w:spacing w:before="0" w:after="80"/>
      </w:pPr>
      <w:r>
        <w:t xml:space="preserve"/>
      </w:r>
    </w:p>
    <w:p>
      <w:pPr>
        <w:spacing w:before="60" w:after="60"/>
      </w:pPr>
      <w:r>
        <w:rPr>
          <w:rFonts w:ascii="Arial" w:cs="Arial" w:eastAsia="Arial" w:hAnsi="Arial"/>
          <w:color w:val="4A4A4A"/>
          <w:sz w:val="20"/>
          <w:szCs w:val="20"/>
        </w:rPr>
        <w:t xml:space="preserve">Pablo Talamantes confirmed that clusters are built for Broker, Earn, Loan (and Cards/PRO coming). These are in Qlik. The Growth team needs to use these clusters for segmenting LC metrics, specifically for targeted campaigns.</w:t>
      </w:r>
    </w:p>
    <w:p>
      <w:pPr>
        <w:spacing w:before="0" w:after="80"/>
      </w:pPr>
      <w:r>
        <w:t xml:space="preserve"/>
      </w:r>
    </w:p>
    <w:p>
      <w:pPr>
        <w:pStyle w:val="Heading2"/>
        <w:spacing w:before="280" w:after="120"/>
      </w:pPr>
      <w:r>
        <w:rPr>
          <w:rFonts w:ascii="Arial" w:cs="Arial" w:eastAsia="Arial" w:hAnsi="Arial"/>
          <w:b/>
          <w:bCs/>
          <w:color w:val="1E5799"/>
          <w:sz w:val="26"/>
          <w:szCs w:val="26"/>
        </w:rPr>
        <w:t xml:space="preserve">How to use clusters in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Cluster dashboard</w:t>
            </w:r>
          </w:p>
        </w:tc>
        <w:tc>
          <w:tcPr>
            <w:tcW w:type="dxa" w:w="18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 (Jan 2026)</w:t>
            </w:r>
          </w:p>
        </w:tc>
        <w:tc>
          <w:tcPr>
            <w:tcW w:type="dxa" w:w="53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Growth use case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Broker clusters</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Live in Qlik</w:t>
            </w:r>
          </w:p>
        </w:tc>
        <w:tc>
          <w:tcPr>
            <w:tcW w:type="dxa" w:w="5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Segment dormant users with balances for reactivation campaigns. High-value clusters get personalized email/push. Low-value clusters get automated flows.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Loan clusters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Live in Qlik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Identify users eligible for Loan cross-sell. Trigger lifecycle campaigns at right lifecycle stage.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Earn clusters</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Live in Qlik</w:t>
            </w:r>
          </w:p>
        </w:tc>
        <w:tc>
          <w:tcPr>
            <w:tcW w:type="dxa" w:w="5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Identify Broker users not using Earn for cross-sell trigger. Key revenue expansion metric.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Cards clusters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Pending publication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Will enable card activation campaigns once live.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PRO clusters</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In analysis (Juan Gomez)</w:t>
            </w:r>
          </w:p>
        </w:tc>
        <w:tc>
          <w:tcPr>
            <w:tcW w:type="dxa" w:w="5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Will enable PRO reactivation and upsell targeting once live.</w:t>
            </w:r>
          </w:p>
        </w:tc>
      </w:tr>
    </w:tbl>
    <w:p>
      <w:pPr>
        <w:spacing w:before="0" w:after="80"/>
      </w:pPr>
      <w:r>
        <w:t xml:space="preserve"/>
      </w:r>
    </w:p>
    <w:p>
      <w:pPr>
        <w:spacing w:before="60" w:after="60"/>
      </w:pPr>
      <w:r>
        <w:rPr>
          <w:rFonts w:ascii="Arial" w:cs="Arial" w:eastAsia="Arial" w:hAnsi="Arial"/>
          <w:color w:val="4A4A4A"/>
          <w:sz w:val="20"/>
          <w:szCs w:val="20"/>
        </w:rPr>
        <w:t xml:space="preserve">For any LC campaign targeting a specific cluster, you need to track two additional metrics beyond the standard ones:</w:t>
      </w:r>
    </w:p>
    <w:p>
      <w:pPr>
        <w:pStyle w:val="ListParagraph"/>
        <w:numPr>
          <w:ilvl w:val="0"/>
          <w:numId w:val="3"/>
        </w:numPr>
      </w:pPr>
      <w:r>
        <w:rPr>
          <w:rFonts w:ascii="Arial" w:cs="Arial" w:eastAsia="Arial" w:hAnsi="Arial"/>
          <w:sz w:val="20"/>
          <w:szCs w:val="20"/>
        </w:rPr>
        <w:t xml:space="preserve">Cluster penetration rate: (Users in cluster reached by campaign / Total users in cluster) x 100</w:t>
      </w:r>
    </w:p>
    <w:p>
      <w:pPr>
        <w:pStyle w:val="ListParagraph"/>
        <w:numPr>
          <w:ilvl w:val="0"/>
          <w:numId w:val="3"/>
        </w:numPr>
      </w:pPr>
      <w:r>
        <w:rPr>
          <w:rFonts w:ascii="Arial" w:cs="Arial" w:eastAsia="Arial" w:hAnsi="Arial"/>
          <w:sz w:val="20"/>
          <w:szCs w:val="20"/>
        </w:rPr>
        <w:t xml:space="preserve">Cluster conversion rate: (Cluster users converting / Cluster users targeted) x 100. Compare across clusters to find the highest-ROI segments.</w:t>
      </w:r>
    </w:p>
    <w:p>
      <w:pPr>
        <w:spacing w:before="0" w:after="80"/>
      </w:pPr>
      <w:r>
        <w:t xml:space="preserve"/>
      </w:r>
    </w:p>
    <w:p>
      <w:r>
        <w:br w:type="page"/>
      </w:r>
    </w:p>
    <w:p>
      <w:pPr>
        <w:pStyle w:val="Heading1"/>
        <w:spacing w:before="360" w:after="180"/>
      </w:pPr>
      <w:r>
        <w:rPr>
          <w:rFonts w:ascii="Arial" w:cs="Arial" w:eastAsia="Arial" w:hAnsi="Arial"/>
          <w:b/>
          <w:bCs/>
          <w:color w:val="1A2C4E"/>
          <w:sz w:val="32"/>
          <w:szCs w:val="32"/>
        </w:rPr>
        <w:t xml:space="preserve">Appendix: Bit2Me-specific definitions (agreed internally)</w:t>
      </w:r>
    </w:p>
    <w:p>
      <w:pPr>
        <w:pBdr>
          <w:bottom w:val="single" w:color="1E5799"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Term</w:t>
            </w:r>
          </w:p>
        </w:tc>
        <w:tc>
          <w:tcPr>
            <w:tcW w:type="dxa" w:w="450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Bit2Me definition</w:t>
            </w:r>
          </w:p>
        </w:tc>
        <w:tc>
          <w:tcPr>
            <w:tcW w:type="dxa" w:w="2660"/>
            <w:tcBorders>
              <w:top w:val="single" w:color="CCCCCC" w:sz="1"/>
              <w:left w:val="single" w:color="CCCCCC" w:sz="1"/>
              <w:bottom w:val="single" w:color="CCCCCC" w:sz="1"/>
              <w:right w:val="single" w:color="CCCCCC" w:sz="1"/>
            </w:tcBorders>
            <w:shd w:fill="1A2C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First Monetization (FM)</w:t>
            </w:r>
          </w:p>
        </w:tc>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First operation of: swap, sell, purchase (Brokerage) OR trade buy/sell (PRO)</w:t>
            </w:r>
          </w:p>
        </w:tc>
        <w:tc>
          <w:tcPr>
            <w:tcW w:type="dxa" w:w="26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David Sales, Jan 27 Slack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Loan FM</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User who has submitted a loan request (not necessarily approved)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David Sales, Jan 27 Slack</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LTV formula</w:t>
            </w:r>
          </w:p>
        </w:tc>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(1 / Churn Rate) x ARPU weekly (annualized)</w:t>
            </w:r>
          </w:p>
        </w:tc>
        <w:tc>
          <w:tcPr>
            <w:tcW w:type="dxa" w:w="26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David Sales, Jan 27 Slack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Churn Rate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1 / LT (Lifetime). LT derived from activity algorithm.</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David Sales, Jan 27 Slack</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LT (Lifetime)</w:t>
            </w:r>
          </w:p>
        </w:tc>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Obtained from the activity algorithm. Ask Pablo Talamantes for algorithm definition.</w:t>
            </w:r>
          </w:p>
        </w:tc>
        <w:tc>
          <w:tcPr>
            <w:tcW w:type="dxa" w:w="26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David Sales, Jan 27 Slack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Regions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ES | PT | Resto EU | Argentina | Resto World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Pablo Campos, Jan 27 Slack</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Segmentation default</w:t>
            </w:r>
          </w:p>
        </w:tc>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B2C and B2B separately, then aggregating regions, then per region, then per product</w:t>
            </w:r>
          </w:p>
        </w:tc>
        <w:tc>
          <w:tcPr>
            <w:tcW w:type="dxa" w:w="26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Pablo Campos, Jan 27 Slack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North Star Metric</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Monthly Transacting Users (MTUs) &gt;= 1 transaction in rolling 28 days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4A4A4A"/>
                <w:sz w:val="18"/>
                <w:szCs w:val="18"/>
              </w:rPr>
              <w:t xml:space="preserve">Recommended by this document based on Coinbase benchmark</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Council report format</w:t>
            </w:r>
          </w:p>
        </w:tc>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Revenue-focused. Not lifecycle health metrics. Blended CAC + LTV:CAC + MTUs + funnel conversion.</w:t>
            </w:r>
          </w:p>
        </w:tc>
        <w:tc>
          <w:tcPr>
            <w:tcW w:type="dxa" w:w="26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top"/>
          </w:tcPr>
          <w:p>
            <w:r>
              <w:rPr>
                <w:rFonts w:ascii="Arial" w:cs="Arial" w:eastAsia="Arial" w:hAnsi="Arial"/>
                <w:color w:val="4A4A4A"/>
                <w:sz w:val="18"/>
                <w:szCs w:val="18"/>
              </w:rPr>
              <w:t xml:space="preserve">Pablo Campos</w:t>
            </w:r>
          </w:p>
        </w:tc>
      </w:tr>
    </w:tbl>
    <w:p>
      <w:pPr>
        <w:spacing w:before="0" w:after="80"/>
      </w:pPr>
      <w:r>
        <w:t xml:space="preserve"/>
      </w:r>
    </w:p>
    <w:p>
      <w:pPr>
        <w:pBdr>
          <w:bottom w:val="single" w:color="1E5799" w:sz="4" w:space="1"/>
        </w:pBdr>
        <w:spacing w:before="120" w:after="120"/>
      </w:pPr>
      <w:r>
        <w:t xml:space="preserve"/>
      </w:r>
    </w:p>
    <w:p>
      <w:pPr>
        <w:spacing w:before="200"/>
        <w:jc w:val="center"/>
      </w:pPr>
      <w:r>
        <w:rPr>
          <w:rFonts w:ascii="Arial" w:cs="Arial" w:eastAsia="Arial" w:hAnsi="Arial"/>
          <w:i/>
          <w:iCs/>
          <w:color w:val="888888"/>
          <w:sz w:val="18"/>
          <w:szCs w:val="18"/>
        </w:rPr>
        <w:t xml:space="preserve">Bit2Me Growth Team | Marketing Metrics Framework 2026 | Daniel Ferraro</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C4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57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2026-02-23T10:05:18.630Z</dcterms:created>
  <dcterms:modified xsi:type="dcterms:W3CDTF">2026-02-23T10:05:18.631Z</dcterms:modified>
</cp:coreProperties>
</file>

<file path=docProps/custom.xml><?xml version="1.0" encoding="utf-8"?>
<Properties xmlns="http://schemas.openxmlformats.org/officeDocument/2006/custom-properties" xmlns:vt="http://schemas.openxmlformats.org/officeDocument/2006/docPropsVTypes"/>
</file>