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Gasket1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2383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Cria um vetor vértices com os pontos. Os três pontos delimitam o triângulo externo. Para encontrar um ponto p dentro desse triângulo delimitado, somam-se os pontos e multiplica-se as coordenadas dos pontos por 0.25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21812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Cria-se um array e adiciona-se nele o ponto p. Cria-se um loop, seguindo o tamanho do vetor p até alcançar-se o número de pontos NumPoints definidos no início do programa. Pega-se aleatoriamente um dos pontos delimitadores do triângulo listados em vertices e soma-se com um elemento de points. Divide-se esse ponto por 0.5 (para que o ponto seja localizado entre o último ponto e o vértice aleatório) e ele é adicionado a points.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9048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função render é chamada e todos os pontos em points são renderizados usando o gl.POINTS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Gasket2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5334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Funções do gasket2: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Triangle: adiciona à lista points três pontos que determinam um novo triângulo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divideTriangle: os parâmetros da função são os 3 pontos que determinam um triângulo e a contagem de vezes que os triângulos serão subdivididos. Conforme são encontrados os pontos que determinam os triângulos internos ao triângulo inicial e os triângulos gerados a partir dele, a contagem é decrescida. Assim como no gasket1 a função render é chamada após os shaders serem configurados, seus dados enviados à GPU, e os shaders associados aos buffers.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Gasket3: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3144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Aqui são inicializados os vértices, e cada um com 3 dimensões, pois a intenção é que o gasket seja gerado em 3d. Nesse gasket os vértices são utilizados para delimitar os pontos obtidos posteriormente.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0191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São adicionados pontos até que seja atingido o número de pontos determinados. Obtém-se uma variável j que vai de 0 a 4, arrendodada para o seu piso. É gerado um novo ponto realizando-se a soma do ponto e de um dos 4 vértices determinados inicialmente e dividindo-se essa soma por 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33242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Gasket3 com 5000 pontos. Observa-se que os pontos tendem-se a se formar em triângulos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Gasket4: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1838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Gasket4 funciona de forma similar ao Gasket2, com a diferença de ser 3D e a função divideTetra formar tetraedros ao invés de triângulos.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48291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função funciona de forma similar ao divideTriangle do Gasket2, chamando recursivamente a função para criar novos tetraedros a partir dos pontos intermediários entre os pontos de outro triângulo.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5486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Gasket4 têm-se uma função triangle, que insere as cores nos vértices de cada tetraedro, a fim de deixar cada face dele com uma cor básica RGB.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3962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Diminuindo-se a quantidade de subdivisões, observa-se o processo mais claramente, onde cada tetraedro tem seus vértices no vértice de outro.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Gasket5: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Gasket5 possui o mesmo processo do Gasket2, mas ele oferece a possibilidade de se alterar a quantidade de subdivisões por meio de um slider HTML.</w:t>
      </w:r>
      <w:r w:rsidDel="00000000" w:rsidR="00000000" w:rsidRPr="00000000">
        <w:rPr/>
        <w:drawing>
          <wp:inline distB="114300" distT="114300" distL="114300" distR="114300">
            <wp:extent cx="2462213" cy="231187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311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1738" cy="234115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34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