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Paperwork &amp; Generator Data Issue Analysis</w:t>
      </w:r>
    </w:p>
    <w:p>
      <w:pPr>
        <w:spacing w:after="80"/>
        <w:jc w:val="center"/>
      </w:pPr>
      <w:r>
        <w:rPr>
          <w:rFonts w:ascii="Arial" w:cs="Arial" w:eastAsia="Arial" w:hAnsi="Arial"/>
          <w:color w:val="666666"/>
          <w:sz w:val="24"/>
          <w:szCs w:val="24"/>
        </w:rPr>
        <w:t xml:space="preserve">Tradebe USA — Operations / Receiving</w:t>
      </w:r>
    </w:p>
    <w:p>
      <w:pPr>
        <w:spacing w:after="80"/>
        <w:jc w:val="center"/>
      </w:pPr>
      <w:r>
        <w:rPr>
          <w:rFonts w:ascii="Arial" w:cs="Arial" w:eastAsia="Arial" w:hAnsi="Arial"/>
          <w:b/>
          <w:bCs/>
          <w:color w:val="444444"/>
          <w:sz w:val="24"/>
          <w:szCs w:val="24"/>
        </w:rPr>
        <w:t xml:space="preserve">January 1 – April 15, 2026</w:t>
      </w:r>
    </w:p>
    <w:p>
      <w:pPr>
        <w:spacing w:after="400"/>
        <w:jc w:val="center"/>
      </w:pPr>
      <w:r>
        <w:rPr>
          <w:rFonts w:ascii="Arial" w:cs="Arial" w:eastAsia="Arial" w:hAnsi="Arial"/>
          <w:color w:val="888888"/>
          <w:sz w:val="20"/>
          <w:szCs w:val="20"/>
        </w:rPr>
        <w:t xml:space="preserve">Source: SAP Quality Notification Extract</w:t>
      </w:r>
    </w:p>
    <w:p>
      <w:pPr>
        <w:pBdr>
          <w:bottom w:val="single" w:color="2E75B6" w:sz="6" w:space="1"/>
        </w:pBdr>
        <w:spacing w:after="400"/>
      </w:pPr>
    </w:p>
    <w:p>
      <w:pPr>
        <w:pStyle w:val="Heading1"/>
      </w:pPr>
      <w:r>
        <w:t xml:space="preserve">Executive Summary</w:t>
      </w:r>
    </w:p>
    <w:p>
      <w:pPr>
        <w:spacing w:after="200"/>
      </w:pPr>
      <w:r>
        <w:rPr>
          <w:rFonts w:ascii="Arial" w:cs="Arial" w:eastAsia="Arial" w:hAnsi="Arial"/>
          <w:b w:val="false"/>
          <w:bCs w:val="false"/>
          <w:i w:val="false"/>
          <w:iCs w:val="false"/>
          <w:color w:val="000000"/>
          <w:sz w:val="22"/>
          <w:szCs w:val="22"/>
        </w:rPr>
        <w:t xml:space="preserve">This report analyzes 301 SAP quality notifications (265 resolved, 36 open) from January 1 through April 15, 2026. Every notification in this dataset represents a preventable upstream failure—wrong data entered on a manifest, missing documents that should have been included before the load shipped, or generator records in SAP that were never corrected after prior errors.</w:t>
      </w:r>
    </w:p>
    <w:p>
      <w:pPr>
        <w:spacing w:after="200"/>
      </w:pPr>
      <w:r>
        <w:rPr>
          <w:rFonts w:ascii="Arial" w:cs="Arial" w:eastAsia="Arial" w:hAnsi="Arial"/>
          <w:b w:val="false"/>
          <w:bCs w:val="false"/>
          <w:i w:val="false"/>
          <w:iCs w:val="false"/>
          <w:color w:val="000000"/>
          <w:sz w:val="22"/>
          <w:szCs w:val="22"/>
        </w:rPr>
        <w:t xml:space="preserve">The pattern is clear: these are not random mistakes. The same producers submit the same incorrect information load after load, and the same data fields (ERP numbers, phone numbers, generator attachments) fail repeatedly. 72% of all notifications stem from just two error types—ERP # and Generator Phone #—that could be eliminated entirely with a one-time master data cleanup. The fact that Boston Green Fuel has accumulated 55 notifications with the same recurring issues, and still has 16 open, indicates a systemic breakdown in both the producer’s data entry practices and the upstream oversight that should be catching these errors before material arrives at our facilities.</w:t>
      </w:r>
    </w:p>
    <w:p>
      <w:pPr>
        <w:spacing w:after="200"/>
      </w:pPr>
      <w:r>
        <w:rPr>
          <w:rFonts w:ascii="Arial" w:cs="Arial" w:eastAsia="Arial" w:hAnsi="Arial"/>
          <w:b w:val="false"/>
          <w:bCs w:val="false"/>
          <w:i w:val="false"/>
          <w:iCs w:val="false"/>
          <w:color w:val="000000"/>
          <w:sz w:val="22"/>
          <w:szCs w:val="22"/>
        </w:rPr>
        <w:t xml:space="preserve">This is not a receiving problem. Receiving is identifying the errors. The problem lives upstream: producers filling out manifests with wrong information, CSRs not verifying generator data before loads ship, and SAP master records that remain uncorrected despite repeat failures.</w:t>
      </w:r>
    </w:p>
    <w:p>
      <w:pPr>
        <w:pStyle w:val="Heading2"/>
      </w:pPr>
      <w:r>
        <w:t xml:space="preserve">Key Metrics — 1/1/2026 through 4/15/2026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Notifications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301</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Resolved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265 (88.0%)</w:t>
            </w:r>
          </w:p>
        </w:tc>
      </w:tr>
      <w:tr>
        <w:tc>
          <w:tcPr>
            <w:tcW w:type="dxa" w:w="46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Still Open (as of 4/15/2026)</w:t>
            </w:r>
          </w:p>
        </w:tc>
        <w:tc>
          <w:tcPr>
            <w:tcW w:type="dxa" w:w="46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i w:val="false"/>
                <w:iCs w:val="false"/>
                <w:color w:val="C00000"/>
                <w:sz w:val="18"/>
                <w:szCs w:val="18"/>
              </w:rPr>
              <w:t xml:space="preserve">36 (12.0%)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Paperwork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275 (91.4%)</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Generator Data Issues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26 (8.6%)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Revenue Affected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$302,536</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Estimated Staff Hours Consumed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~301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Mean Days to Resolution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6.2 days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Median Days to Resolution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4.0 days</w:t>
            </w:r>
          </w:p>
        </w:tc>
      </w:tr>
    </w:tbl>
    <w:p>
      <w:r>
        <w:br w:type="page"/>
      </w:r>
    </w:p>
    <w:p>
      <w:pPr>
        <w:pStyle w:val="Heading1"/>
      </w:pPr>
      <w:r>
        <w:t xml:space="preserve">The Upstream Problem: Data Entry Failures &amp; Missing Oversight</w:t>
      </w:r>
    </w:p>
    <w:p>
      <w:pPr>
        <w:spacing w:after="200"/>
      </w:pPr>
      <w:r>
        <w:rPr>
          <w:rFonts w:ascii="Arial" w:cs="Arial" w:eastAsia="Arial" w:hAnsi="Arial"/>
          <w:b w:val="false"/>
          <w:bCs w:val="false"/>
          <w:i w:val="false"/>
          <w:iCs w:val="false"/>
          <w:color w:val="000000"/>
          <w:sz w:val="22"/>
          <w:szCs w:val="22"/>
        </w:rPr>
        <w:t xml:space="preserve">Every notification in this report traces back to one of two root causes: (1) the generator or their broker entered incorrect information on the manifest, or (2) the SAP master record for the generator was never updated after a prior error was identified. In either case, the failure happened before the load arrived at our facility.</w:t>
      </w:r>
    </w:p>
    <w:p>
      <w:pPr>
        <w:spacing w:after="200"/>
      </w:pPr>
      <w:r>
        <w:rPr>
          <w:rFonts w:ascii="Arial" w:cs="Arial" w:eastAsia="Arial" w:hAnsi="Arial"/>
          <w:b w:val="false"/>
          <w:bCs w:val="false"/>
          <w:i w:val="false"/>
          <w:iCs w:val="false"/>
          <w:color w:val="000000"/>
          <w:sz w:val="22"/>
          <w:szCs w:val="22"/>
        </w:rPr>
        <w:t xml:space="preserve">The concentration of errors makes this unmistakable. ERP # errors (110 notifications) and Generator Phone # errors (108 notifications) together account for 72% of all issues. These are static data fields—a generator’s EPA permit number and phone number do not change from load to load. When the same producer triggers the same ERP error on 30 separate shipments, it means the underlying SAP record was never corrected after the first error, and nobody upstream is validating the manifest against SAP before the load ships.</w:t>
      </w:r>
    </w:p>
    <w:p>
      <w:pPr>
        <w:spacing w:after="200"/>
      </w:pPr>
      <w:r>
        <w:rPr>
          <w:rFonts w:ascii="Arial" w:cs="Arial" w:eastAsia="Arial" w:hAnsi="Arial"/>
          <w:b w:val="false"/>
          <w:bCs w:val="false"/>
          <w:i w:val="false"/>
          <w:iCs w:val="false"/>
          <w:color w:val="000000"/>
          <w:sz w:val="22"/>
          <w:szCs w:val="22"/>
        </w:rPr>
        <w:t xml:space="preserve">Generator attachments and missing documents (33 notifications) represent a different but equally preventable failure: the required paperwork was simply not included with the shipment. This is a packing and dispatch oversight at the generator site, compounded by a lack of pre-shipment checklist enforcement by the CSR or broker.</w:t>
      </w:r>
    </w:p>
    <w:p>
      <w:pPr>
        <w:pStyle w:val="Heading2"/>
      </w:pPr>
      <w:r>
        <w:t xml:space="preserve">Issue Categories — All 301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 Category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ERP #</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110</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SAP generator record has wrong EPA permit #, never corrected after first notification</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Generator Phone #</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108</w:t>
            </w:r>
          </w:p>
        </w:tc>
        <w:tc>
          <w:tcPr>
            <w:tcW w:type="dxa" w:w="5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Manifest phone doesn’t match SAP; producer keeps submitting old number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Missing Manifest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Billing packet shipped without manifest—dispatch/driver oversight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Generator Attach / Missing Docs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33</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Required attachments not included by producer; pre-shipment checklist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Generator ID #</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EPA generator ID wrong or missing on manifest—data entry error at generator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Generator Address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Site/mailing address mismatch between manifest and SAP—never reconciled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Drum 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Container type entered incorrectly on manifest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Missing Billing Packet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Entire billing package not sent—transportation/dispatch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Generator Name / Other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Name mismatch, DOT errors, missing signatures, transporter issues</w:t>
            </w:r>
          </w:p>
        </w:tc>
      </w:tr>
    </w:tbl>
    <w:p>
      <w:r>
        <w:br w:type="page"/>
      </w:r>
    </w:p>
    <w:p>
      <w:pPr>
        <w:pStyle w:val="Heading1"/>
      </w:pPr>
      <w:r>
        <w:t xml:space="preserve">Top Repeat Offenders — Producer Accountability</w:t>
      </w:r>
    </w:p>
    <w:p>
      <w:pPr>
        <w:spacing w:after="200"/>
      </w:pPr>
      <w:r>
        <w:rPr>
          <w:rFonts w:ascii="Arial" w:cs="Arial" w:eastAsia="Arial" w:hAnsi="Arial"/>
          <w:b w:val="false"/>
          <w:bCs w:val="false"/>
          <w:i w:val="false"/>
          <w:iCs w:val="false"/>
          <w:color w:val="000000"/>
          <w:sz w:val="22"/>
          <w:szCs w:val="22"/>
        </w:rPr>
        <w:t xml:space="preserve">The top 5 producers account for 41.5% of all notifications. These are not one-time mistakes—they are patterns of neglect. Boston Green Fuel has submitted 55 loads with documentation errors in 3.5 months, with the same ERP, phone, and attachment issues appearing on load after load. This indicates no corrective action has been taken by the producer or their CSR despite repeated notifications.</w:t>
      </w:r>
    </w:p>
    <w:p>
      <w:pPr>
        <w:spacing w:after="200"/>
      </w:pPr>
      <w:r>
        <w:rPr>
          <w:rFonts w:ascii="Arial" w:cs="Arial" w:eastAsia="Arial" w:hAnsi="Arial"/>
          <w:b w:val="false"/>
          <w:bCs w:val="false"/>
          <w:i w:val="false"/>
          <w:iCs w:val="false"/>
          <w:color w:val="000000"/>
          <w:sz w:val="22"/>
          <w:szCs w:val="22"/>
        </w:rPr>
        <w:t xml:space="preserve">Note: Boston Green Fuel appeared under two SAP entries (“Boston Green Fuel Co” and “Boston Green Fuel Co Inc”). The existence of duplicate SAP records for the same generator is itself an upstream data management failure that should have been caught and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800"/>
        <w:gridCol w:w="800"/>
        <w:gridCol w:w="800"/>
        <w:gridCol w:w="3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Open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 $10K</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Recurring Issue Pattern</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Boston Green Fuel Co</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55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16</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$14,880</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26.2</w:t>
            </w:r>
          </w:p>
        </w:tc>
        <w:tc>
          <w:tcPr>
            <w:tcW w:type="dxa" w:w="3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ERP (30x), phone (17x), attach (13x) errors repeating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Emerald Environmental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$10,454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32.5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Phone # wrong on 28 loads—SAP record never updated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GFL Environmental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$3,744</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37.4</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Worst $/notif ratio; ERP, phone, ID, address all wrong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EnviroServe, Inc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$11,669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ERP wrong on 7 loads despite prior corrections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Sun Environmental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$5,857</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13.7</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ERP, Gen ID, address errors recurring across loads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Valicor Environmental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$5,554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ERP and phone errors; duplicate SAP entries (same as BGF pattern)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Industrial Tech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$1,695</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29.5</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revenue, high problem rate; phone &amp; ID never corrected</w:t>
            </w:r>
          </w:p>
        </w:tc>
      </w:tr>
    </w:tbl>
    <w:p>
      <w:r>
        <w:br w:type="page"/>
      </w:r>
    </w:p>
    <w:p>
      <w:pPr>
        <w:pStyle w:val="Heading1"/>
      </w:pPr>
      <w:r>
        <w:t xml:space="preserve">Financial Impact of Upstream Failures</w:t>
      </w:r>
    </w:p>
    <w:p>
      <w:pPr>
        <w:spacing w:after="200"/>
      </w:pPr>
      <w:r>
        <w:rPr>
          <w:rFonts w:ascii="Arial" w:cs="Arial" w:eastAsia="Arial" w:hAnsi="Arial"/>
          <w:b w:val="false"/>
          <w:bCs w:val="false"/>
          <w:i w:val="false"/>
          <w:iCs w:val="false"/>
          <w:color w:val="000000"/>
          <w:sz w:val="22"/>
          <w:szCs w:val="22"/>
        </w:rPr>
        <w:t xml:space="preserve">Every paperwork notification requires approximately 1 hour of receiving and CSR staff time to investigate, contact the producer or customer, obtain the correct information, update SAP, and close the notification. At 301 notifications in 3.5 months, that’s 301 hours of Tradebe staff time spent correcting mistakes that were made by producers and brokers before the load ever left the generator’s site.</w:t>
      </w:r>
    </w:p>
    <w:p>
      <w:pPr>
        <w:spacing w:after="200"/>
      </w:pPr>
      <w:r>
        <w:rPr>
          <w:rFonts w:ascii="Arial" w:cs="Arial" w:eastAsia="Arial" w:hAnsi="Arial"/>
          <w:b w:val="false"/>
          <w:bCs w:val="false"/>
          <w:i w:val="false"/>
          <w:iCs w:val="false"/>
          <w:color w:val="000000"/>
          <w:sz w:val="22"/>
          <w:szCs w:val="22"/>
        </w:rPr>
        <w:t xml:space="preserve">This is time that should be spent on production, not chasing down phone numbers and ERP entries that the producer should have gotten right the first time—or that should have been caught and corrected after the first failure.</w:t>
      </w:r>
    </w:p>
    <w:p>
      <w:pPr>
        <w:spacing w:after="200"/>
      </w:pPr>
      <w:r>
        <w:rPr>
          <w:rFonts w:ascii="Arial" w:cs="Arial" w:eastAsia="Arial" w:hAnsi="Arial"/>
          <w:b w:val="false"/>
          <w:bCs w:val="false"/>
          <w:i w:val="false"/>
          <w:iCs w:val="false"/>
          <w:color w:val="000000"/>
          <w:sz w:val="22"/>
          <w:szCs w:val="22"/>
        </w:rPr>
        <w:t xml:space="preserve">The $302,536 in affected revenue represents loads sitting in the billing pipeline waiting for paperwork corrections. These are loads we’ve already received and processed—we’re simply unable to bill for them until someone upstream provides the correct documentation.</w:t>
      </w:r>
    </w:p>
    <w:p>
      <w:pPr>
        <w:pStyle w:val="Heading2"/>
      </w:pPr>
      <w:r>
        <w:t xml:space="preserve">Worst Cost-to-Serve Producers</w:t>
      </w:r>
    </w:p>
    <w:p>
      <w:pPr>
        <w:spacing w:after="200"/>
      </w:pPr>
      <w:r>
        <w:rPr>
          <w:rFonts w:ascii="Arial" w:cs="Arial" w:eastAsia="Arial" w:hAnsi="Arial"/>
          <w:b w:val="false"/>
          <w:bCs w:val="false"/>
          <w:i w:val="false"/>
          <w:iCs w:val="false"/>
          <w:color w:val="000000"/>
          <w:sz w:val="22"/>
          <w:szCs w:val="22"/>
        </w:rPr>
        <w:t xml:space="preserve">When normalized by revenue, GFL Environmental is the single most expensive account to service from a paperwork standpoint: 37.4 notifications per $10K of revenue. For every $10,000 GFL brings in, Tradebe staff spend nearly 4 hours fixing their documentation errors. Emerald Environmental (32.5/$10K) is nearly as bad. These rates are unsustainable and indicate a complete lack of quality control in the producer’s manifest preparation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200"/>
        <w:gridCol w:w="1000"/>
        <w:gridCol w:w="1000"/>
        <w:gridCol w:w="22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Notifs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 $10K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$/Hr</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GFL Environmental</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$3,744</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37.4</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$267</w:t>
            </w:r>
          </w:p>
        </w:tc>
        <w:tc>
          <w:tcPr>
            <w:tcW w:type="dxa" w:w="2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Every field wrong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Emerald Environmental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$10,454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32.5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$307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Phone # never corrected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Industrial Tech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$1,695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29.5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$339</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value, high friction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Boston Green Fuel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$14,880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$382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Highest volume offender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Sun Environmental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$5,857</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13.7</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$732</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Recurring multi-field errors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EnviroServe, Inc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$11,669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$898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ERP corrected then wrong again</w:t>
            </w:r>
          </w:p>
        </w:tc>
      </w:tr>
    </w:tbl>
    <w:p>
      <w:pPr>
        <w:pStyle w:val="Heading2"/>
      </w:pPr>
      <w:r>
        <w:t xml:space="preserve">CER vs LabPack — Paperwork Resolution</w:t>
      </w:r>
    </w:p>
    <w:p>
      <w:pPr>
        <w:spacing w:after="200"/>
      </w:pPr>
      <w:r>
        <w:rPr>
          <w:rFonts w:ascii="Arial" w:cs="Arial" w:eastAsia="Arial" w:hAnsi="Arial"/>
          <w:b w:val="false"/>
          <w:bCs w:val="false"/>
          <w:i w:val="false"/>
          <w:iCs w:val="false"/>
          <w:color w:val="000000"/>
          <w:sz w:val="22"/>
          <w:szCs w:val="22"/>
        </w:rPr>
        <w:t xml:space="preserve">LabPack paperwork notifications take 3.5× longer than CER (19.2 vs. 5.5 days). Lab pack programs involve more complex documentation chains—multiple generators, manifests, and profiles on a single load—which amplifies the impact of any upstream data entry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Days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Median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CER (Drums)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$243,002</w:t>
            </w:r>
          </w:p>
        </w:tc>
      </w:tr>
      <w:tr>
        <w:tc>
          <w:tcPr>
            <w:tcW w:type="dxa" w:w="23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LabPack</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19.2</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10.0</w:t>
            </w:r>
          </w:p>
        </w:tc>
        <w:tc>
          <w:tcPr>
            <w:tcW w:type="dxa" w:w="23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$8,663</w:t>
            </w:r>
          </w:p>
        </w:tc>
      </w:tr>
    </w:tbl>
    <w:p>
      <w:r>
        <w:br w:type="page"/>
      </w:r>
    </w:p>
    <w:p>
      <w:pPr>
        <w:pStyle w:val="Heading1"/>
      </w:pPr>
      <w:r>
        <w:t xml:space="preserve">Service Center Performance (Normalized by Revenue)</w:t>
      </w:r>
    </w:p>
    <w:p>
      <w:pPr>
        <w:spacing w:after="200"/>
      </w:pPr>
      <w:r>
        <w:rPr>
          <w:rFonts w:ascii="Arial" w:cs="Arial" w:eastAsia="Arial" w:hAnsi="Arial"/>
          <w:b w:val="false"/>
          <w:bCs w:val="false"/>
          <w:i w:val="false"/>
          <w:iCs w:val="false"/>
          <w:color w:val="000000"/>
          <w:sz w:val="22"/>
          <w:szCs w:val="22"/>
        </w:rPr>
        <w:t xml:space="preserve">SC East Chicago handles 43% of all paperwork notifications but is actually the most efficient high-volume center at 82.0 notifications per $100K and 5.4-day average resolution. EC is catching upstream errors quickly and resolving them efficiently—the problem isn’t at EC, it’s the volume of bad data arriving from producers.</w:t>
      </w:r>
    </w:p>
    <w:p>
      <w:pPr>
        <w:spacing w:after="200"/>
      </w:pPr>
      <w:r>
        <w:rPr>
          <w:rFonts w:ascii="Arial" w:cs="Arial" w:eastAsia="Arial" w:hAnsi="Arial"/>
          <w:b w:val="false"/>
          <w:bCs w:val="false"/>
          <w:i w:val="false"/>
          <w:iCs w:val="false"/>
          <w:color w:val="000000"/>
          <w:sz w:val="22"/>
          <w:szCs w:val="22"/>
        </w:rPr>
        <w:t xml:space="preserve">SC Newington’s poor normalized rate (182.2/$100K) is almost entirely a Boston Green Fuel problem. Fixing BGF’s upstream data entry would normalize Newington’s rate 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00"/>
        <w:gridCol w:w="1200"/>
        <w:gridCol w:w="1200"/>
        <w:gridCol w:w="22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 Center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Notifs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 $100K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Days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East Chicago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$150,072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Best high-vol efficiency</w:t>
            </w:r>
          </w:p>
        </w:tc>
      </w:tr>
      <w:tr>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Newington</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66</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$26,346</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C00000"/>
                <w:sz w:val="18"/>
                <w:szCs w:val="18"/>
              </w:rPr>
              <w:t xml:space="preserve">182.2</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5.9</w:t>
            </w:r>
          </w:p>
        </w:tc>
        <w:tc>
          <w:tcPr>
            <w:tcW w:type="dxa" w:w="22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BGF-driven; fast resolution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Pittsburgh</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45</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$31,225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144.1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5.6</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rate, producer-driven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Meriden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$20,311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54.2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Moderate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Iowa</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$23,817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29.4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10.4</w:t>
            </w:r>
          </w:p>
        </w:tc>
        <w:tc>
          <w:tcPr>
            <w:tcW w:type="dxa" w:w="2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 rate, slower to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 Cincinnati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$23,960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3.8</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Best normalized rate</w:t>
            </w:r>
          </w:p>
        </w:tc>
      </w:tr>
    </w:tbl>
    <w:p>
      <w:r>
        <w:br w:type="page"/>
      </w:r>
    </w:p>
    <w:p>
      <w:pPr>
        <w:pStyle w:val="Heading1"/>
      </w:pPr>
      <w:r>
        <w:t xml:space="preserve">Open Notifications — 36 Unresolved as of 4/15/2026</w:t>
      </w:r>
    </w:p>
    <w:p>
      <w:pPr>
        <w:spacing w:after="200"/>
      </w:pPr>
      <w:r>
        <w:rPr>
          <w:rFonts w:ascii="Arial" w:cs="Arial" w:eastAsia="Arial" w:hAnsi="Arial"/>
          <w:b w:val="false"/>
          <w:bCs w:val="false"/>
          <w:i w:val="false"/>
          <w:iCs w:val="false"/>
          <w:color w:val="000000"/>
          <w:sz w:val="22"/>
          <w:szCs w:val="22"/>
        </w:rPr>
        <w:t xml:space="preserve">36 notifications remain open, representing $13,391 in unbillable revenue. 22 are stuck at the CSR Notified stage—meaning the CSR has been told about the problem but has not yet obtained the corrected information from the producer. Boston Green Fuel accounts for 16 of 36 open items (44% of the entire backlog), all sitting with Megan DeClaire (Robert Cleary) at SC Newington.</w:t>
      </w:r>
    </w:p>
    <w:p>
      <w:pPr>
        <w:spacing w:after="200"/>
      </w:pPr>
      <w:r>
        <w:rPr>
          <w:rFonts w:ascii="Arial" w:cs="Arial" w:eastAsia="Arial" w:hAnsi="Arial"/>
          <w:b w:val="false"/>
          <w:bCs w:val="false"/>
          <w:i w:val="false"/>
          <w:iCs w:val="false"/>
          <w:color w:val="000000"/>
          <w:sz w:val="22"/>
          <w:szCs w:val="22"/>
        </w:rPr>
        <w:t xml:space="preserve">These open notifications are not waiting on Tradebe—they are waiting on producers to provide correct data and on CSRs to follow up and obtain it. Every day they remain open is a day that the receiving-to-billing pipeline is blocked on a correction that should have been right in the first place.</w:t>
      </w:r>
    </w:p>
    <w:p>
      <w:pPr>
        <w:pStyle w:val="Heading1"/>
      </w:pPr>
      <w:r>
        <w:t xml:space="preserve">Customer Service Rep Volume &amp; Accountability</w:t>
      </w:r>
    </w:p>
    <w:p>
      <w:pPr>
        <w:spacing w:after="200"/>
      </w:pPr>
      <w:r>
        <w:rPr>
          <w:rFonts w:ascii="Arial" w:cs="Arial" w:eastAsia="Arial" w:hAnsi="Arial"/>
          <w:b w:val="false"/>
          <w:bCs w:val="false"/>
          <w:i w:val="false"/>
          <w:iCs w:val="false"/>
          <w:color w:val="000000"/>
          <w:sz w:val="22"/>
          <w:szCs w:val="22"/>
        </w:rPr>
        <w:t xml:space="preserve">CSR notification volume primarily reflects account assignments rather than individual performance. However, the CSR is the primary point of contact for driving corrective actions with their producers. The supervisor (in parentheses) shares accountability for ensuring follow-through on repeat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900"/>
        <w:gridCol w:w="900"/>
        <w:gridCol w:w="32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CSR (Supervisor)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Open</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Accountability Note</w:t>
            </w:r>
          </w:p>
        </w:tc>
      </w:tr>
      <w:tr>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Megan DeClaire (Robert Cleary)</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74</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57</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17</w:t>
            </w:r>
          </w:p>
        </w:tc>
        <w:tc>
          <w:tcPr>
            <w:tcW w:type="dxa" w:w="3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49 are BGF—must drive master data fix</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Adam Becker (Marsha O’Malley)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Emerald’s phone # corrected but took 34 notifications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Andrea Burandt (Christopher Jevyak)</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46</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45</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EnviroServe + GFL—both need upstream data fixes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Erin Hinchman (Adrian Ortiz)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Univar branches—multiple locations, same issues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Jake Eudene (Carlie Mohr)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25</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24</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Valicor, US Industrial—low-rev high-problem accounts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Brittany Swiski (Giorgio Webster)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 open—needs follow-through on pending items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Mike Schroader (Rob Fontaine)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SUNY Brockport (4 open)—needs escalation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Heidi Cameron (Michael McTeague)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open across multiple small producers</w:t>
            </w:r>
          </w:p>
        </w:tc>
      </w:tr>
    </w:tbl>
    <w:p>
      <w:r>
        <w:br w:type="page"/>
      </w:r>
    </w:p>
    <w:p>
      <w:pPr>
        <w:pStyle w:val="Heading1"/>
      </w:pPr>
      <w:r>
        <w:t xml:space="preserve">Cross-Dataset: Producers Failing on Both Fronts</w:t>
      </w:r>
    </w:p>
    <w:p>
      <w:pPr>
        <w:spacing w:after="200"/>
      </w:pPr>
      <w:r>
        <w:rPr>
          <w:rFonts w:ascii="Arial" w:cs="Arial" w:eastAsia="Arial" w:hAnsi="Arial"/>
          <w:b w:val="false"/>
          <w:bCs w:val="false"/>
          <w:i w:val="false"/>
          <w:iCs w:val="false"/>
          <w:color w:val="000000"/>
          <w:sz w:val="22"/>
          <w:szCs w:val="22"/>
        </w:rPr>
        <w:t xml:space="preserve">These producers appear in both this paperwork dataset and the material quality dataset (Jan 2025–Apr 2026). They’re not just sending bad paperwork—they’re also sending waste that doesn’t match its profile. This double failure indicates a fundamental lack of quality control at the generator level. A single corrective action call covering both issues will be more effective than addressing paperwork and material quality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Paperwork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Material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Combined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Mat. Revenue</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GFL Environmental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48</w:t>
            </w:r>
          </w:p>
        </w:tc>
        <w:tc>
          <w:tcPr>
            <w:tcW w:type="dxa" w:w="2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$43,912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US Industrial Tech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$90,235</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EnviroServe, Inc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32</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$20,777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Axalta Coating (LLC)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$25,552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Sun Environmental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21</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$17,860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Subaru of Indiana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$14,818</w:t>
            </w:r>
          </w:p>
        </w:tc>
      </w:tr>
    </w:tbl>
    <w:p>
      <w:r>
        <w:br w:type="page"/>
      </w:r>
    </w:p>
    <w:p>
      <w:pPr>
        <w:pStyle w:val="Heading1"/>
      </w:pPr>
      <w:r>
        <w:t xml:space="preserve">Recommendations</w:t>
      </w:r>
    </w:p>
    <w:p>
      <w:pPr>
        <w:pStyle w:val="Heading2"/>
      </w:pPr>
      <w:r>
        <w:t xml:space="preserve">1. Mandate SAP Master Data Correction for Top 10 Producers</w:t>
      </w:r>
    </w:p>
    <w:p>
      <w:pPr>
        <w:pStyle w:val="ListParagraph"/>
        <w:numPr>
          <w:ilvl w:val="0"/>
          <w:numId w:val="2"/>
        </w:numPr>
        <w:spacing w:after="80"/>
      </w:pPr>
      <w:r>
        <w:rPr>
          <w:rFonts w:ascii="Arial" w:cs="Arial" w:eastAsia="Arial" w:hAnsi="Arial"/>
          <w:sz w:val="22"/>
          <w:szCs w:val="22"/>
        </w:rPr>
        <w:t xml:space="preserve">72% of notifications come from two data fields (ERP and phone) that are static and should never change between loads. The SAP generator record is wrong and nobody has fixed it. Require each CSR to audit and correct the SAP master record for their top 3 repeat offenders before accepting the next shipment.</w:t>
      </w:r>
    </w:p>
    <w:p>
      <w:pPr>
        <w:pStyle w:val="ListParagraph"/>
        <w:numPr>
          <w:ilvl w:val="0"/>
          <w:numId w:val="2"/>
        </w:numPr>
        <w:spacing w:after="80"/>
      </w:pPr>
      <w:r>
        <w:rPr>
          <w:rFonts w:ascii="Arial" w:cs="Arial" w:eastAsia="Arial" w:hAnsi="Arial"/>
          <w:sz w:val="22"/>
          <w:szCs w:val="22"/>
        </w:rPr>
        <w:t xml:space="preserve">This is a one-time fix that prevents hundreds of future notifications. The fact that Emerald submitted 28 loads with the wrong phone number before it was corrected is a process failure, not an anomaly.</w:t>
      </w:r>
    </w:p>
    <w:p>
      <w:pPr>
        <w:pStyle w:val="Heading2"/>
      </w:pPr>
      <w:r>
        <w:t xml:space="preserve">2. Implement Pre-Shipment Manifest Validation</w:t>
      </w:r>
    </w:p>
    <w:p>
      <w:pPr>
        <w:pStyle w:val="ListParagraph"/>
        <w:numPr>
          <w:ilvl w:val="0"/>
          <w:numId w:val="2"/>
        </w:numPr>
        <w:spacing w:after="80"/>
      </w:pPr>
      <w:r>
        <w:rPr>
          <w:rFonts w:ascii="Arial" w:cs="Arial" w:eastAsia="Arial" w:hAnsi="Arial"/>
          <w:sz w:val="22"/>
          <w:szCs w:val="22"/>
        </w:rPr>
        <w:t xml:space="preserve">The CSR or their team should verify that the manifest matches SAP before the load ships. A 5-minute check upstream prevents 1+ hour of correction downstream. Start with the top 10 producers and expand. If the manifest ERP, phone, or generator ID doesn’t match SAP, the load doesn’t ship until it’s corrected.</w:t>
      </w:r>
    </w:p>
    <w:p>
      <w:pPr>
        <w:pStyle w:val="Heading2"/>
      </w:pPr>
      <w:r>
        <w:t xml:space="preserve">3. Clear the Boston Green Fuel Backlog Immediately</w:t>
      </w:r>
    </w:p>
    <w:p>
      <w:pPr>
        <w:pStyle w:val="ListParagraph"/>
        <w:numPr>
          <w:ilvl w:val="0"/>
          <w:numId w:val="2"/>
        </w:numPr>
        <w:spacing w:after="80"/>
      </w:pPr>
      <w:r>
        <w:rPr>
          <w:rFonts w:ascii="Arial" w:cs="Arial" w:eastAsia="Arial" w:hAnsi="Arial"/>
          <w:sz w:val="22"/>
          <w:szCs w:val="22"/>
        </w:rPr>
        <w:t xml:space="preserve">55 notifications, 16 open, $14,880 affected, same errors repeating for 3.5 months. Megan DeClaire (Robert Cleary) must drive a corrective action call with BGF that results in a master data cleanup, SAP entry consolidation, and agreement on a pre-shipment checklist. This single action would clear 44% of the open backlog and 18.3% of all notifications.</w:t>
      </w:r>
    </w:p>
    <w:p>
      <w:pPr>
        <w:pStyle w:val="Heading2"/>
      </w:pPr>
      <w:r>
        <w:t xml:space="preserve">4. Establish Re-pricing or Pre-qualification Gates for Worst Cost-to-Serve</w:t>
      </w:r>
    </w:p>
    <w:p>
      <w:pPr>
        <w:pStyle w:val="ListParagraph"/>
        <w:numPr>
          <w:ilvl w:val="0"/>
          <w:numId w:val="2"/>
        </w:numPr>
        <w:spacing w:after="80"/>
      </w:pPr>
      <w:r>
        <w:rPr>
          <w:rFonts w:ascii="Arial" w:cs="Arial" w:eastAsia="Arial" w:hAnsi="Arial"/>
          <w:sz w:val="22"/>
          <w:szCs w:val="22"/>
        </w:rPr>
        <w:t xml:space="preserve">GFL generates 37.4 notifications per $10K revenue. At an estimated $267/hr return on staff time, the cost of servicing their documentation errors may exceed the margin on their business. Consider: (a) adding a documentation surcharge for repeat offenders, (b) requiring a clean manifest as a condition of load acceptance, or (c) renegotiating pricing to reflect the true cost of service.</w:t>
      </w:r>
    </w:p>
    <w:p>
      <w:pPr>
        <w:pStyle w:val="Heading2"/>
      </w:pPr>
      <w:r>
        <w:t xml:space="preserve">5. Open Notification Escalation Protocol</w:t>
      </w:r>
    </w:p>
    <w:p>
      <w:pPr>
        <w:pStyle w:val="ListParagraph"/>
        <w:numPr>
          <w:ilvl w:val="0"/>
          <w:numId w:val="2"/>
        </w:numPr>
        <w:spacing w:after="80"/>
      </w:pPr>
      <w:r>
        <w:rPr>
          <w:rFonts w:ascii="Arial" w:cs="Arial" w:eastAsia="Arial" w:hAnsi="Arial"/>
          <w:sz w:val="22"/>
          <w:szCs w:val="22"/>
        </w:rPr>
        <w:t xml:space="preserve">22 of 36 open notifications are stuck at CSR Notified. Implement a 7-day escalation to the sales group lead. If a CSR has more than 5 open items past 7 days, the supervisor takes ownership. No notification should sit at CSR Notified for more than 10 business days.</w:t>
      </w:r>
    </w:p>
    <w:p>
      <w:pPr>
        <w:pStyle w:val="Heading2"/>
      </w:pPr>
      <w:r>
        <w:t xml:space="preserve">6. Holistic Corrective Action for Dual Offenders</w:t>
      </w:r>
    </w:p>
    <w:p>
      <w:pPr>
        <w:pStyle w:val="ListParagraph"/>
        <w:numPr>
          <w:ilvl w:val="0"/>
          <w:numId w:val="2"/>
        </w:numPr>
        <w:spacing w:after="80"/>
      </w:pPr>
      <w:r>
        <w:rPr>
          <w:rFonts w:ascii="Arial" w:cs="Arial" w:eastAsia="Arial" w:hAnsi="Arial"/>
          <w:sz w:val="22"/>
          <w:szCs w:val="22"/>
        </w:rPr>
        <w:t xml:space="preserve">GFL (48 combined), US Industrial Tech (41), EnviroServe (32), and Axalta (37) fail on both paperwork and material quality. Schedule a single corrective action meeting per account that covers documentation, profile compliance, and material quality together. Two separate conversations with the same producer about two related problems is inefficient.</w:t>
      </w:r>
    </w:p>
    <w:p>
      <w:pPr>
        <w:pBdr>
          <w:top w:val="single" w:color="2E75B6" w:sz="6" w:space="1"/>
        </w:pBdr>
        <w:spacing w:after="200" w:before="400"/>
      </w:pPr>
    </w:p>
    <w:p>
      <w:pPr>
        <w:spacing w:after="200"/>
      </w:pPr>
      <w:r>
        <w:rPr>
          <w:rFonts w:ascii="Arial" w:cs="Arial" w:eastAsia="Arial" w:hAnsi="Arial"/>
          <w:b w:val="false"/>
          <w:bCs w:val="false"/>
          <w:i/>
          <w:iCs/>
          <w:color w:val="555555"/>
          <w:sz w:val="22"/>
          <w:szCs w:val="22"/>
        </w:rPr>
        <w:t xml:space="preserve">These are upstream problems with upstream solutions. Receiving is doing its job by catching the errors. The gap is between where the error is created (producer/manifest data entry) and where it’s detected (receiving). Closing that gap—through master data correction, pre-shipment validation, and producer accountability—would reduce notification volume by an estimated 40–50% within one quarter.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Tradebe USA — Paperwork &amp; Generator Data Issue Analysis — 1/1/2026–4/15/2026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2026-04-17T15:35:19.885Z</dcterms:created>
  <dcterms:modified xsi:type="dcterms:W3CDTF">2026-04-17T15:35:19.886Z</dcterms:modified>
</cp:coreProperties>
</file>

<file path=docProps/custom.xml><?xml version="1.0" encoding="utf-8"?>
<Properties xmlns="http://schemas.openxmlformats.org/officeDocument/2006/custom-properties" xmlns:vt="http://schemas.openxmlformats.org/officeDocument/2006/docPropsVTypes"/>
</file>