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7DC81E2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 </w:t>
      </w:r>
    </w:p>
    <w:p w14:paraId="5431295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不向零部件供电。</w:t>
      </w:r>
    </w:p>
    <w:p w14:paraId="66E56D2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工作模式1.1:零部件未连接到线束。</w:t>
      </w:r>
    </w:p>
    <w:p w14:paraId="4A0357F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工作模式1.2:零部件模拟在车辆上的安装位置,连接到线束。</w:t>
      </w:r>
    </w:p>
    <w:p w14:paraId="3DA304B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58E219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</w:t>
      </w:r>
    </w:p>
    <w:p w14:paraId="47FF047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当车辆发动机关闭,且所有电气连接完好,零部件以电压UB带电运行。</w:t>
      </w:r>
    </w:p>
    <w:p w14:paraId="03FFC8A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工作模式2.1:系统/组件带电压UB运行但功能不被激活(如休眠模式:即串行数据通信未激活或零</w:t>
      </w:r>
    </w:p>
    <w:p w14:paraId="043D02B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部件处于待机状态)</w:t>
      </w:r>
    </w:p>
    <w:p w14:paraId="02F4679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工作模式2.2:系统/组件带电压UB运行并控制在典型运行模式(如需要带载荷,通常为额定载荷)。</w:t>
      </w:r>
    </w:p>
    <w:p w14:paraId="68DDAE6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工作模式2.3:系统/组件带电压UB运行并控制在最小负载运行模式(如需要带载荷,通常为最小</w:t>
      </w:r>
    </w:p>
    <w:p w14:paraId="40253CC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1E78BA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工作模式2.4:系统/组件带电压UB运行并控制在最大负载运行模式(如需要带载荷,通常为最大</w:t>
      </w:r>
    </w:p>
    <w:p w14:paraId="041D481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6D94B21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11DDED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 </w:t>
      </w:r>
    </w:p>
    <w:p w14:paraId="00CF7CD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所有电气连接完好,零部件以电压UA和UNHV带电运行。仅适用于没有辅助设备(例如冷却系统)</w:t>
      </w:r>
    </w:p>
    <w:p w14:paraId="16139D8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工作模式3.1:系统/组件带电压UA和UNHV运行但功能不被激活。</w:t>
      </w:r>
    </w:p>
    <w:p w14:paraId="541848F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工作模式3.2:系统/组件带电压UA和UNiv运行并控制在典型运行模式(如需要带载荷,通常为额定</w:t>
      </w:r>
    </w:p>
    <w:p w14:paraId="70A6D11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载荷)。</w:t>
      </w:r>
    </w:p>
    <w:p w14:paraId="5344E6C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工作模式3.3:系统/组件带电压UA和UNHV运行并控制在最小负载运行模式(如需要带载荷,通常为</w:t>
      </w:r>
    </w:p>
    <w:p w14:paraId="5A853F2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最小载荷)。</w:t>
      </w:r>
    </w:p>
    <w:p w14:paraId="2C13ED7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工作模式3.4:系统/组件带电压UA和UNHV运行并控制在最大负载运行模式(如需要带载荷,通常为</w:t>
      </w:r>
    </w:p>
    <w:p w14:paraId="109E3A6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最大载荷)。</w:t>
      </w:r>
    </w:p>
    <w:p w14:paraId="0FF452A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备注1:对于所有电压系统,为了防DUT过热或者难以实现(不可行)的测试设置,经客户与供应商协商同意后,</w:t>
      </w:r>
    </w:p>
    <w:p w14:paraId="0C38D0B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可以将工作模式3.4模式切换到3.2模式。</w:t>
      </w:r>
    </w:p>
    <w:p w14:paraId="13B670F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备注2:对于电压等级B的电子元器件或系统不适用工作模式3.4。</w:t>
      </w:r>
    </w:p>
    <w:p w14:paraId="07F9D0C9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AA7DB9C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 Operating Mode 4</w:t>
      </w:r>
    </w:p>
    <w:p w14:paraId="244816A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所有电气连接完好,零部件以电压UA和UNHV带电运行。并且安装了辅助设备(例如冷却系统)。</w:t>
      </w:r>
    </w:p>
    <w:p w14:paraId="38447E8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工作模式4.1:系统/组件带电压UA和UNHv运行但功能不被激活。</w:t>
      </w:r>
    </w:p>
    <w:p w14:paraId="4C56BAE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工作模式4.2:系统/组件带电压UA和UNHV行并控制在典型运行模式(如需要带载荷,通常为额定载</w:t>
      </w:r>
    </w:p>
    <w:p w14:paraId="619D58C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荷)。</w:t>
      </w:r>
    </w:p>
    <w:p w14:paraId="484C90C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工作模式4.3:系统/组件带电压UA和UNHV行并控制在最小负载运行模式(如需要带载荷,通常为最</w:t>
      </w:r>
    </w:p>
    <w:p w14:paraId="026B8C6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小载荷)。</w:t>
      </w:r>
    </w:p>
    <w:p w14:paraId="3C48E4C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工作模式4.4:系统/组件带电压UA和UNHy运行并控制在最大负载运行模式(如需要带载荷,通常为</w:t>
      </w:r>
    </w:p>
    <w:p w14:paraId="61E907E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最大载荷)。</w:t>
      </w:r>
    </w:p>
    <w:p w14:paraId="3C51234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备注1:对于所有电压系统,为了防止DUT过热或者难以实现(不可行)的测试设置,经客户与供应商协商同意后,</w:t>
      </w:r>
    </w:p>
    <w:p w14:paraId="3D8CF45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可以将工作模式4.4模式切换到4.2模式</w:t>
      </w:r>
    </w:p>
    <w:p w14:paraId="4FFDAB8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备注2:功能模式的定义(最小负载,典型负载,最大负载)需要经客户与供应商双方同意</w:t>
      </w:r>
    </w:p>
    <w:p w14:paraId="30C550E2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备注3:功能模式4主要针对工作时,需辅助设备加持组件如:PTC,高压电池包,等</w:t>
      </w:r>
    </w:p>
    <w:p w14:paraId="655CB90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bookmarkStart w:id="0" w:name="_GoBack"/>
      <w:bookmarkEnd w:id="0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br w:type="page"/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● 功能状态分级</w:t>
      </w:r>
    </w:p>
    <w:p w14:paraId="6C87759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功能状态A</w:t>
      </w:r>
    </w:p>
    <w:p w14:paraId="59A650E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在测试期间和测试后,组件的所有功能都按设计执行,记忆功能应满足FSC A</w:t>
      </w:r>
    </w:p>
    <w:p w14:paraId="6857233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98EBC5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功能状态B</w:t>
      </w:r>
    </w:p>
    <w:p w14:paraId="5E3CA4F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在测试过程中,组件的所有功能都按照设计执行。允许功能中的一个或多个可能超出指定的公差。</w:t>
      </w:r>
    </w:p>
    <w:p w14:paraId="69B8FD87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测试后,所有功能自动恢复到正常范围内。记忆功能仍应保持FSC A.</w:t>
      </w:r>
    </w:p>
    <w:p w14:paraId="148FEF8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吉利工程部门应规定组件的哪些功能应在测试期间按设计执行,哪些功能可以超出规定的公差</w:t>
      </w:r>
    </w:p>
    <w:p w14:paraId="0D04EB4D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17BAE53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功能状态C </w:t>
      </w:r>
    </w:p>
    <w:p w14:paraId="32AAA15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组件的一个或多个功能在测试期间没有按照设计执行,但测试后需自动进入正常运行状态。</w:t>
      </w:r>
    </w:p>
    <w:p w14:paraId="6EFBF15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FSC A或B也可用于分类为FSCC的组件,记忆功能仍应保持FSC A。</w:t>
      </w:r>
    </w:p>
    <w:p w14:paraId="1E054351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5BAED5B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功能状态D</w:t>
      </w:r>
    </w:p>
    <w:p w14:paraId="6EB5844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在测试过程中,组件的一个或多个功能不能按设计的方式运行,并且在测试后不能恢复正常运行,</w:t>
      </w:r>
    </w:p>
    <w:p w14:paraId="6DA8D0D4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直到人为操作重置,FSC A、B或C也可用于分类为FSC D的组件。e·</w:t>
      </w:r>
    </w:p>
    <w:p w14:paraId="10CB86F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1E0BFB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功能状态E </w:t>
      </w:r>
    </w:p>
    <w:p w14:paraId="5EA71F9B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在测试期间和之后,组件的一个或多个功能不按设计执行,不修理或更换部件,无法恢复正常工作。</w:t>
      </w:r>
    </w:p>
    <w:p w14:paraId="625F9AF5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FSC A、B、C或D也可用于分类为FSC E的组件。</w:t>
      </w:r>
    </w:p>
    <w:p w14:paraId="1D1DEC47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78793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BBCFF3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 w:eastAsia="宋体"/>
        <w:b/>
        <w:sz w:val="24"/>
        <w:szCs w:val="24"/>
      </w:rPr>
      <w:t>报告编号：YJ/SYBG-20260825001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34C21E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D9234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0914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82C3EE4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1FE50D6D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2A1D04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4B79A0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0A2687"/>
    <w:rsid w:val="513B5482"/>
    <w:rsid w:val="51F554C4"/>
    <w:rsid w:val="51FE5822"/>
    <w:rsid w:val="52081312"/>
    <w:rsid w:val="522104AB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9DA12E4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3</Pages>
  <Words>2880</Words>
  <Characters>4104</Characters>
  <Lines>1</Lines>
  <Paragraphs>1</Paragraphs>
  <TotalTime>19</TotalTime>
  <ScaleCrop>false</ScaleCrop>
  <LinksUpToDate>false</LinksUpToDate>
  <CharactersWithSpaces>4753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2026-08-25T13:29:18Z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