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FA450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1A04E45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</w:t>
      </w:r>
    </w:p>
    <w:p w14:paraId="3E6012CE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工作模式1：不向DUT供电。 </w:t>
      </w:r>
    </w:p>
    <w:p w14:paraId="56D726A0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工作模式1.1：DUT未连接到线束上 。</w:t>
      </w:r>
    </w:p>
    <w:p w14:paraId="0E3E0CE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工作模式1.2：DUT 模拟在车辆上的安装位置，连接到线束上 。</w:t>
      </w:r>
    </w:p>
    <w:p w14:paraId="12A4AC6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C5D035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工作模式2：DUT在 UB电压下工作。 </w:t>
      </w:r>
    </w:p>
    <w:p w14:paraId="2168B41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工作模式2.1：DUT未被激活，如休眠模式 。</w:t>
      </w:r>
    </w:p>
    <w:p w14:paraId="343F8A2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工作模式2.2：DUT处于典型工作模式 。</w:t>
      </w:r>
    </w:p>
    <w:p w14:paraId="31B4A88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123BB9CB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工作模式3：DUT在UA电压下工作。 </w:t>
      </w:r>
    </w:p>
    <w:p w14:paraId="7923CA3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工作模式3.1：DUT未被激活，如休眠模式 。</w:t>
      </w:r>
    </w:p>
    <w:p w14:paraId="4A746DA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工作模式3.2：DUT处于典型工作模式 。</w:t>
      </w:r>
    </w:p>
    <w:p w14:paraId="0BA4C16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96CFC7B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工作模式4：DUT在具体试验要求的电压下工作。 </w:t>
      </w:r>
    </w:p>
    <w:p w14:paraId="56B4DD9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工作模式4.1：DUT未被激活，如休眠模式 。</w:t>
      </w:r>
    </w:p>
    <w:p w14:paraId="0FABAB33">
      <w:pPr>
        <w:spacing w:line="360" w:lineRule="auto"/>
        <w:jc w:val="left"/>
        <w:rPr>
          <w:rFonts w:hint="default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工作模式4.2：DUT处于典型工作模式。</w:t>
      </w:r>
    </w:p>
    <w:p w14:paraId="655CB90F">
      <w:pPr>
        <w:spacing w:line="480" w:lineRule="auto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br w:type="page"/>
      </w:r>
      <w:r>
        <w:rPr>
          <w:rFonts w:hint="eastAsia" w:ascii="宋体" w:hAnsi="宋体" w:eastAsia="宋体" w:cs="宋体"/>
          <w:b/>
          <w:sz w:val="24"/>
          <w:szCs w:val="24"/>
        </w:rPr>
        <w:t xml:space="preserve">●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功能状态分级</w:t>
      </w:r>
    </w:p>
    <w:p w14:paraId="4D16A3D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A级：在试验中和试验后，DUT所有功能与设计要求一致。 </w:t>
      </w:r>
    </w:p>
    <w:p w14:paraId="723AD8E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7146BAA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B级：在试验中，DUT所有功能与设计要求一致，但允许一个或多个超过规定允差。试验后所有功能自动恢复到设计要求状态。不能对永久和临时存储区造成任何影响。 </w:t>
      </w:r>
    </w:p>
    <w:p w14:paraId="142F380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6A1C96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C级：在试验中，DUT一个或多个功能不满足设计要求，但试验后所有功能自动恢复到设计要求状态。不能对永久和临时存储区造成任何影响。 </w:t>
      </w:r>
    </w:p>
    <w:p w14:paraId="1D64ECC8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FBE858E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D级：在试验中，DUT一个或多个功能不满足设计要求，而且在试验后不能自动恢复到设计要求状态，需要采取简单操作重新激活。不能对永久和临时存储区造成任何影响。 </w:t>
      </w:r>
    </w:p>
    <w:p w14:paraId="1A47E2F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1E2A0D7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E级：在试验中，DUT一个或多个功能不满足设计要求，而且在试验后不能自动恢复到设计要求状态，需要对DUT进行整改或更换。</w:t>
      </w:r>
    </w:p>
    <w:p w14:paraId="3F9EA756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C9F37CB">
      <w:pPr>
        <w:numPr>
          <w:ilvl w:val="0"/>
          <w:numId w:val="0"/>
        </w:numPr>
        <w:ind w:leftChars="0"/>
        <w:jc w:val="center"/>
        <w:outlineLvl w:val="0"/>
        <w:rPr>
          <w:rFonts w:hint="eastAsia" w:ascii="宋体" w:hAnsi="宋体" w:eastAsia="宋体" w:cs="宋体"/>
          <w:b/>
          <w:sz w:val="32"/>
          <w:szCs w:val="32"/>
        </w:rPr>
      </w:pPr>
      <w:r>
        <w:rPr>
          <w:rFonts w:hint="eastAsia" w:ascii="宋体" w:hAnsi="宋体" w:cs="宋体"/>
          <w:b/>
          <w:sz w:val="32"/>
          <w:szCs w:val="32"/>
          <w:lang w:val="en-US" w:eastAsia="zh-CN"/>
        </w:rPr>
        <w:br w:type="page"/>
      </w:r>
      <w:bookmarkStart w:id="0" w:name="_Toc21708"/>
      <w:bookmarkStart w:id="1" w:name="_Toc6559"/>
      <w:bookmarkStart w:id="2" w:name="_Toc4889"/>
      <w:bookmarkStart w:id="3" w:name="_Toc2329"/>
      <w:bookmarkStart w:id="4" w:name="_Toc31863"/>
      <w:r>
        <w:rPr>
          <w:rFonts w:hint="eastAsia" w:ascii="宋体" w:hAnsi="宋体" w:eastAsia="宋体" w:cs="宋体"/>
          <w:b/>
          <w:sz w:val="32"/>
          <w:szCs w:val="32"/>
        </w:rPr>
        <w:t>试验结果汇总</w:t>
      </w:r>
      <w:bookmarkEnd w:id="0"/>
      <w:bookmarkEnd w:id="1"/>
      <w:bookmarkEnd w:id="2"/>
      <w:bookmarkEnd w:id="3"/>
      <w:bookmarkEnd w:id="4"/>
    </w:p>
    <w:tbl>
      <w:tblPr>
        <w:tblStyle w:val="10"/>
        <w:tblpPr w:leftFromText="180" w:rightFromText="180" w:vertAnchor="text" w:horzAnchor="page" w:tblpXSpec="center" w:tblpY="299"/>
        <w:tblOverlap w:val="never"/>
        <w:tblW w:w="1004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1701"/>
        <w:gridCol w:w="2508"/>
        <w:gridCol w:w="1134"/>
        <w:gridCol w:w="1417"/>
        <w:gridCol w:w="1417"/>
        <w:gridCol w:w="1134"/>
      </w:tblGrid>
      <w:tr w14:paraId="2DD8869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  <w:jc w:val="center"/>
        </w:trPr>
        <w:tc>
          <w:tcPr>
            <w:tcW w:w="737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65D7D280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序号</w:t>
            </w:r>
          </w:p>
        </w:tc>
        <w:tc>
          <w:tcPr>
            <w:tcW w:w="1701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6954938E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lang w:val="en-US" w:eastAsia="zh-CN"/>
              </w:rPr>
              <w:t>试验</w:t>
            </w: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项目</w:t>
            </w:r>
          </w:p>
        </w:tc>
        <w:tc>
          <w:tcPr>
            <w:tcW w:w="2508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7BB20738">
            <w:pPr>
              <w:jc w:val="center"/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  <w:t>标准号/条款号</w:t>
            </w:r>
          </w:p>
        </w:tc>
        <w:tc>
          <w:tcPr>
            <w:tcW w:w="1134" w:type="dxa"/>
            <w:vMerge w:val="restart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2CA30CD5">
            <w:pPr>
              <w:jc w:val="center"/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21"/>
                <w:szCs w:val="21"/>
                <w:lang w:val="en-US" w:eastAsia="zh-CN"/>
              </w:rPr>
              <w:t>样机编号</w:t>
            </w:r>
          </w:p>
        </w:tc>
        <w:tc>
          <w:tcPr>
            <w:tcW w:w="2834" w:type="dxa"/>
            <w:gridSpan w:val="2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16AE0C2F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highlight w:val="none"/>
                <w:lang w:val="en-US" w:eastAsia="zh-CN"/>
              </w:rPr>
              <w:t>测试日期</w:t>
            </w:r>
          </w:p>
        </w:tc>
        <w:tc>
          <w:tcPr>
            <w:tcW w:w="1134" w:type="dxa"/>
            <w:vMerge w:val="restart"/>
            <w:tcBorders>
              <w:tl2br w:val="nil"/>
              <w:tr2bl w:val="nil"/>
            </w:tcBorders>
            <w:shd w:val="clear" w:color="F1F1F1" w:fill="auto"/>
            <w:noWrap w:val="0"/>
            <w:vAlign w:val="center"/>
          </w:tcPr>
          <w:p w14:paraId="4609B157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lang w:val="en-US" w:eastAsia="zh-CN"/>
              </w:rPr>
              <w:t>试验</w:t>
            </w:r>
            <w:r>
              <w:rPr>
                <w:rFonts w:hint="eastAsia" w:ascii="宋体" w:hAnsi="宋体" w:eastAsia="宋体" w:cs="宋体"/>
                <w:b/>
                <w:sz w:val="21"/>
                <w:szCs w:val="21"/>
              </w:rPr>
              <w:t>结果</w:t>
            </w:r>
          </w:p>
        </w:tc>
      </w:tr>
      <w:tr w14:paraId="57ABD445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jc w:val="center"/>
        </w:trPr>
        <w:tc>
          <w:tcPr>
            <w:tcW w:w="737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5E2E8F4E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1701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22083E16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2508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2861D0FA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1134" w:type="dxa"/>
            <w:vMerge w:val="continue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6A2DC281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2AB9D43F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  <w:highlight w:val="yellow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highlight w:val="none"/>
              </w:rPr>
              <w:t>开始时间</w:t>
            </w: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5F98A5A1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  <w:highlight w:val="yellow"/>
              </w:rPr>
            </w:pPr>
            <w:r>
              <w:rPr>
                <w:rFonts w:hint="eastAsia" w:ascii="宋体" w:hAnsi="宋体" w:eastAsia="宋体" w:cs="宋体"/>
                <w:b/>
                <w:sz w:val="21"/>
                <w:szCs w:val="21"/>
                <w:highlight w:val="none"/>
              </w:rPr>
              <w:t>完成时间</w:t>
            </w:r>
          </w:p>
        </w:tc>
        <w:tc>
          <w:tcPr>
            <w:tcW w:w="1134" w:type="dxa"/>
            <w:vMerge w:val="continue"/>
            <w:tcBorders>
              <w:tl2br w:val="nil"/>
              <w:tr2bl w:val="nil"/>
            </w:tcBorders>
            <w:shd w:val="clear" w:color="F1F1F1" w:fill="auto"/>
            <w:noWrap w:val="0"/>
            <w:vAlign w:val="center"/>
          </w:tcPr>
          <w:p w14:paraId="50D47C3A">
            <w:pPr>
              <w:jc w:val="center"/>
              <w:rPr>
                <w:rFonts w:hint="eastAsia" w:ascii="宋体" w:hAnsi="宋体" w:eastAsia="宋体" w:cs="宋体"/>
                <w:b/>
                <w:sz w:val="21"/>
                <w:szCs w:val="21"/>
              </w:rPr>
            </w:pPr>
          </w:p>
        </w:tc>
      </w:tr>
      <w:tr w14:paraId="483A5124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8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3C436B58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  <w:t>1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21FB717C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bookmarkStart w:id="5" w:name="_GoBack"/>
            <w:bookmarkEnd w:id="5"/>
          </w:p>
        </w:tc>
        <w:tc>
          <w:tcPr>
            <w:tcW w:w="2508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39DB00FF">
            <w:pPr>
              <w:ind w:firstLine="0" w:firstLineChars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32E5E5C6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02F29257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shd w:val="clear" w:color="auto" w:fill="auto"/>
            <w:noWrap w:val="0"/>
            <w:vAlign w:val="center"/>
          </w:tcPr>
          <w:p w14:paraId="431571BB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shd w:val="clear" w:color="F1F1F1" w:fill="auto"/>
            <w:noWrap w:val="0"/>
            <w:vAlign w:val="center"/>
          </w:tcPr>
          <w:p w14:paraId="6378A62F">
            <w:pPr>
              <w:jc w:val="center"/>
              <w:rPr>
                <w:rFonts w:hint="default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733CBB5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2AC61C41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  <w:t>2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61BC7B07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6AE1B9B6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1ECB41F7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72020672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2E00DDA0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45ECE127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1A0E763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60FA082D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770F8FDA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0A340C5A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34F670C1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5D3AA97F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28924DCA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7C286D9F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38BC490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330DF575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40052CFF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524AB2A6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4DC4B55E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3101B314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163DA316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458EABD6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DC0D77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41BAA359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5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425B4335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409127EF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4E1FB80E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6C613302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60949B83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5E090611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774E44D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6E018475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6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085B0E07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68C95BA5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277E86DB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6596779A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5C6F0A8F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7128C4FE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7AD37264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6197DCF7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7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79AB18E3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5B855CB9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20EC372B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557B0DB8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4126E86A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60D0F808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150F0CCB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00C2E609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8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2480F6C1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6DD52121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0569B8F6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6F00C0FE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0A704A55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5ED306D1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031CBDB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3884B6C7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9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3FE6AE1E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1753C696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24FF6918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42293CBE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6AEC43C0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079BDC4E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AEB5609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77D7704C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10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1AD2BCB0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1917A2B8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68B999A1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57182481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17FAB7B8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1C4E04EC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0A86A64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449C92CC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11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4387CF39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6F736BAE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21C455F9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79C2E7DE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34F54172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10B5776E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357C73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436AE39F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12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4CE66D77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4E7363F9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3670D232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0BD71C1C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7B356DF6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2516C517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4CB8CD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  <w:jc w:val="center"/>
        </w:trPr>
        <w:tc>
          <w:tcPr>
            <w:tcW w:w="737" w:type="dxa"/>
            <w:tcBorders>
              <w:tl2br w:val="nil"/>
              <w:tr2bl w:val="nil"/>
            </w:tcBorders>
            <w:noWrap w:val="0"/>
            <w:vAlign w:val="center"/>
          </w:tcPr>
          <w:p w14:paraId="352A6699">
            <w:pPr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13</w:t>
            </w:r>
          </w:p>
        </w:tc>
        <w:tc>
          <w:tcPr>
            <w:tcW w:w="1701" w:type="dxa"/>
            <w:tcBorders>
              <w:tl2br w:val="nil"/>
              <w:tr2bl w:val="nil"/>
            </w:tcBorders>
            <w:noWrap w:val="0"/>
            <w:vAlign w:val="center"/>
          </w:tcPr>
          <w:p w14:paraId="52AA20E5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2508" w:type="dxa"/>
            <w:tcBorders>
              <w:tl2br w:val="nil"/>
              <w:tr2bl w:val="nil"/>
            </w:tcBorders>
            <w:noWrap w:val="0"/>
            <w:vAlign w:val="center"/>
          </w:tcPr>
          <w:p w14:paraId="7B613F39">
            <w:pPr>
              <w:autoSpaceDE w:val="0"/>
              <w:autoSpaceDN w:val="0"/>
              <w:adjustRightIn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0835F175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78ACDB34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417" w:type="dxa"/>
            <w:tcBorders>
              <w:tl2br w:val="nil"/>
              <w:tr2bl w:val="nil"/>
            </w:tcBorders>
            <w:noWrap w:val="0"/>
            <w:vAlign w:val="center"/>
          </w:tcPr>
          <w:p w14:paraId="6EC89979">
            <w:pPr>
              <w:autoSpaceDE w:val="0"/>
              <w:autoSpaceDN w:val="0"/>
              <w:adjustRightInd w:val="0"/>
              <w:jc w:val="center"/>
              <w:rPr>
                <w:rFonts w:hint="default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134" w:type="dxa"/>
            <w:tcBorders>
              <w:tl2br w:val="nil"/>
              <w:tr2bl w:val="nil"/>
            </w:tcBorders>
            <w:noWrap w:val="0"/>
            <w:vAlign w:val="center"/>
          </w:tcPr>
          <w:p w14:paraId="770092BF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</w:tbl>
    <w:p w14:paraId="2CC7A4EA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E0AA9A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CAF7C5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/>
        <w:b/>
        <w:sz w:val="24"/>
        <w:szCs w:val="24"/>
        <w:lang w:val="en-US" w:eastAsia="zh-CN"/>
      </w:rPr>
      <w:t>·</w:t>
    </w:r>
    <w:r>
      <w:rPr>
        <w:rFonts w:hint="eastAsia" w:ascii="宋体" w:hAnsi="宋体" w:eastAsia="宋体"/>
        <w:b/>
        <w:sz w:val="24"/>
        <w:szCs w:val="24"/>
      </w:rPr>
      <w:t>报告编号：YJ/SYBG-202608</w:t>
    </w:r>
    <w:r>
      <w:rPr>
        <w:rFonts w:hint="eastAsia" w:ascii="宋体" w:hAnsi="宋体"/>
        <w:b/>
        <w:sz w:val="24"/>
        <w:szCs w:val="24"/>
        <w:lang w:val="en-US" w:eastAsia="zh-CN"/>
      </w:rPr>
      <w:t>25</w:t>
    </w:r>
    <w:r>
      <w:rPr>
        <w:rFonts w:hint="eastAsia" w:ascii="宋体" w:hAnsi="宋体" w:eastAsia="宋体"/>
        <w:b/>
        <w:sz w:val="24"/>
        <w:szCs w:val="24"/>
      </w:rPr>
      <w:t>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1B1E7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25CAF5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316F8E"/>
    <w:rsid w:val="34EE48FC"/>
    <w:rsid w:val="355926C7"/>
    <w:rsid w:val="35B60FDF"/>
    <w:rsid w:val="36633A37"/>
    <w:rsid w:val="36FB4ACB"/>
    <w:rsid w:val="372C0DDB"/>
    <w:rsid w:val="376712E7"/>
    <w:rsid w:val="37A32341"/>
    <w:rsid w:val="380F0ED1"/>
    <w:rsid w:val="38211E89"/>
    <w:rsid w:val="384F6156"/>
    <w:rsid w:val="38C86D3E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B707DB"/>
    <w:rsid w:val="3FCB6AE7"/>
    <w:rsid w:val="3FDA43FC"/>
    <w:rsid w:val="3FDF2F29"/>
    <w:rsid w:val="401A254E"/>
    <w:rsid w:val="404C2157"/>
    <w:rsid w:val="40EC33F0"/>
    <w:rsid w:val="40F162FD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3B5482"/>
    <w:rsid w:val="51686FC5"/>
    <w:rsid w:val="51F554C4"/>
    <w:rsid w:val="51FE5822"/>
    <w:rsid w:val="52081312"/>
    <w:rsid w:val="522104AB"/>
    <w:rsid w:val="529440F4"/>
    <w:rsid w:val="52AF2069"/>
    <w:rsid w:val="52C30B3B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0BF5E92"/>
    <w:rsid w:val="61647CFC"/>
    <w:rsid w:val="61992D25"/>
    <w:rsid w:val="6234480D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D2433A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3</Pages>
  <Words>732</Words>
  <Characters>1273</Characters>
  <Lines>1</Lines>
  <Paragraphs>1</Paragraphs>
  <TotalTime>0</TotalTime>
  <ScaleCrop>false</ScaleCrop>
  <LinksUpToDate>false</LinksUpToDate>
  <CharactersWithSpaces>1316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2026-08-26T09:57:09Z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2052-12.1.0.26988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