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14891">
      <w:pPr>
        <w:pStyle w:val="2"/>
        <w:bidi w:val="0"/>
        <w:rPr>
          <w:rFonts w:hint="eastAsia"/>
          <w:lang w:val="en-US" w:eastAsia="zh-CN"/>
        </w:rPr>
      </w:pPr>
      <w:r>
        <w:rPr>
          <w:rFonts w:hint="eastAsia"/>
          <w:lang w:val="en-US" w:eastAsia="zh-CN"/>
        </w:rPr>
        <w:t>第二届全国大学生开源情报数据采集与分析大赛参赛方案</w:t>
      </w:r>
    </w:p>
    <w:p w14:paraId="12BA5827">
      <w:pPr>
        <w:pStyle w:val="3"/>
        <w:bidi w:val="0"/>
        <w:rPr>
          <w:rFonts w:hint="default"/>
          <w:lang w:val="en-US" w:eastAsia="zh-CN"/>
        </w:rPr>
      </w:pPr>
      <w:r>
        <w:rPr>
          <w:rFonts w:hint="eastAsia"/>
          <w:lang w:val="en-US" w:eastAsia="zh-CN"/>
        </w:rPr>
        <w:t>引言</w:t>
      </w:r>
    </w:p>
    <w:p w14:paraId="169A04B2">
      <w:pPr>
        <w:keepNext w:val="0"/>
        <w:keepLines w:val="0"/>
        <w:widowControl/>
        <w:suppressLineNumbers w:val="0"/>
        <w:ind w:firstLine="420" w:firstLineChars="0"/>
        <w:jc w:val="left"/>
        <w:rPr>
          <w:rFonts w:hint="eastAsia"/>
          <w:lang w:val="en-US" w:eastAsia="zh-CN"/>
        </w:rPr>
      </w:pPr>
      <w:r>
        <w:rPr>
          <w:rFonts w:hint="eastAsia"/>
          <w:lang w:val="en-US" w:eastAsia="zh-CN"/>
        </w:rPr>
        <w:t>本次大赛分为初赛和决赛，初赛由开源数据收集、数据采集规则制作、数据分析报告三个比赛环节，各环节所占分数权重依次为10%、40%、50%。根据三个环节总成绩进行排名，排名前60%的参赛队晋级决赛。决赛为PPT汇</w:t>
      </w:r>
      <w:bookmarkStart w:id="0" w:name="_GoBack"/>
      <w:bookmarkEnd w:id="0"/>
      <w:r>
        <w:rPr>
          <w:rFonts w:hint="eastAsia"/>
          <w:lang w:val="en-US" w:eastAsia="zh-CN"/>
        </w:rPr>
        <w:t>报及答辩环节，采用集中式进行，团队总成绩=初赛成绩*30%+决赛成绩*70%，最终获奖名次根据团队总成绩进行统计排名。</w:t>
      </w:r>
    </w:p>
    <w:p w14:paraId="5DF8A19D">
      <w:pPr>
        <w:keepNext w:val="0"/>
        <w:keepLines w:val="0"/>
        <w:widowControl/>
        <w:suppressLineNumbers w:val="0"/>
        <w:ind w:firstLine="420" w:firstLineChars="0"/>
        <w:jc w:val="left"/>
        <w:rPr>
          <w:rFonts w:hint="default"/>
          <w:lang w:val="en-US" w:eastAsia="zh-CN"/>
        </w:rPr>
      </w:pPr>
      <w:r>
        <w:rPr>
          <w:rFonts w:hint="eastAsia"/>
          <w:lang w:val="en-US" w:eastAsia="zh-CN"/>
        </w:rPr>
        <w:t>从比赛内容上来看，各个环节层层递进，充分扎实的完成相应环节的任务有助于完成下一个环节的任务。在接下来的内容中，我将结合评分标准和项目任务，详细阐述我们的比赛方案。</w:t>
      </w:r>
    </w:p>
    <w:p w14:paraId="7FD9CBCD">
      <w:pPr>
        <w:pStyle w:val="3"/>
        <w:bidi w:val="0"/>
        <w:rPr>
          <w:rFonts w:hint="eastAsia"/>
          <w:lang w:val="en-US" w:eastAsia="zh-CN"/>
        </w:rPr>
      </w:pPr>
      <w:r>
        <w:rPr>
          <w:rFonts w:hint="eastAsia"/>
          <w:lang w:val="en-US" w:eastAsia="zh-CN"/>
        </w:rPr>
        <w:t>初赛环节1</w:t>
      </w:r>
    </w:p>
    <w:p w14:paraId="4633ED82">
      <w:pPr>
        <w:pStyle w:val="4"/>
        <w:bidi w:val="0"/>
        <w:rPr>
          <w:rFonts w:hint="default"/>
          <w:lang w:val="en-US" w:eastAsia="zh-CN"/>
        </w:rPr>
      </w:pPr>
      <w:r>
        <w:rPr>
          <w:rFonts w:hint="default"/>
          <w:lang w:val="en-US" w:eastAsia="zh-CN"/>
        </w:rPr>
        <w:t>评分标准：</w:t>
      </w:r>
    </w:p>
    <w:p w14:paraId="70EF5294">
      <w:pPr>
        <w:keepNext w:val="0"/>
        <w:keepLines w:val="0"/>
        <w:widowControl/>
        <w:suppressLineNumbers w:val="0"/>
        <w:ind w:firstLine="420" w:firstLineChars="0"/>
        <w:jc w:val="left"/>
        <w:rPr>
          <w:rFonts w:hint="default"/>
          <w:lang w:val="en-US" w:eastAsia="zh-CN"/>
        </w:rPr>
      </w:pPr>
      <w:r>
        <w:rPr>
          <w:rFonts w:hint="default"/>
          <w:lang w:val="en-US" w:eastAsia="zh-CN"/>
        </w:rPr>
        <w:t>对提交的数据集文件进行复验，数据量超过5万条，且数据重复率低于1%，数据空值率低于1%的参赛队伍得满分。若总数据量低于5万条，则按实际比率得分（如4万条得8分，精确到小数点后两位）。若总数据量高于5万条，但数据重复率或数据空值率任意一项高于1%，则每多50条扣0.5分，最高扣5分，不满50条按50条计算。提交数据时间不影响本轮成绩。</w:t>
      </w:r>
    </w:p>
    <w:p w14:paraId="5D289972">
      <w:pPr>
        <w:pStyle w:val="4"/>
        <w:bidi w:val="0"/>
        <w:rPr>
          <w:rFonts w:hint="default"/>
          <w:lang w:val="en-US" w:eastAsia="zh-CN"/>
        </w:rPr>
      </w:pPr>
      <w:r>
        <w:rPr>
          <w:rFonts w:hint="default"/>
          <w:lang w:val="en-US" w:eastAsia="zh-CN"/>
        </w:rPr>
        <w:t>项目任务：</w:t>
      </w:r>
    </w:p>
    <w:p w14:paraId="041DA6CD">
      <w:pPr>
        <w:keepNext w:val="0"/>
        <w:keepLines w:val="0"/>
        <w:widowControl/>
        <w:suppressLineNumbers w:val="0"/>
        <w:ind w:firstLine="420" w:firstLineChars="0"/>
        <w:jc w:val="left"/>
        <w:rPr>
          <w:rFonts w:hint="default"/>
          <w:lang w:val="en-US" w:eastAsia="zh-CN"/>
        </w:rPr>
      </w:pPr>
      <w:r>
        <w:rPr>
          <w:rFonts w:hint="default"/>
          <w:lang w:val="en-US" w:eastAsia="zh-CN"/>
        </w:rPr>
        <w:t>利用八爪鱼等数据采集工具采集完整不重复数据5W条。可选择的数据类型如下表，每个团队应至少选择两种数据类型，数据量要求≥5万条，数据重复率不得高于1%，数据空值率不得超过1%。</w:t>
      </w:r>
    </w:p>
    <w:tbl>
      <w:tblPr>
        <w:tblStyle w:val="8"/>
        <w:tblW w:w="8897" w:type="dxa"/>
        <w:tblInd w:w="0" w:type="dxa"/>
        <w:shd w:val="clear" w:color="auto" w:fill="FFFFFF"/>
        <w:tblLayout w:type="autofit"/>
        <w:tblCellMar>
          <w:top w:w="0" w:type="dxa"/>
          <w:left w:w="0" w:type="dxa"/>
          <w:bottom w:w="0" w:type="dxa"/>
          <w:right w:w="0" w:type="dxa"/>
        </w:tblCellMar>
      </w:tblPr>
      <w:tblGrid>
        <w:gridCol w:w="597"/>
        <w:gridCol w:w="1212"/>
        <w:gridCol w:w="3070"/>
        <w:gridCol w:w="4018"/>
      </w:tblGrid>
      <w:tr w14:paraId="4C1588F4">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1DEA206F">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b/>
                <w:bCs/>
                <w:color w:val="000000"/>
                <w:spacing w:val="8"/>
                <w:kern w:val="0"/>
                <w:szCs w:val="28"/>
                <w14:ligatures w14:val="none"/>
              </w:rPr>
              <w:t>序号</w:t>
            </w:r>
          </w:p>
        </w:tc>
        <w:tc>
          <w:tcPr>
            <w:tcW w:w="0" w:type="auto"/>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9EB04B6">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b/>
                <w:bCs/>
                <w:color w:val="000000"/>
                <w:spacing w:val="8"/>
                <w:kern w:val="0"/>
                <w:szCs w:val="28"/>
                <w14:ligatures w14:val="none"/>
              </w:rPr>
              <w:t>数据类型</w:t>
            </w:r>
          </w:p>
        </w:tc>
        <w:tc>
          <w:tcPr>
            <w:tcW w:w="0" w:type="auto"/>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820916A">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b/>
                <w:bCs/>
                <w:color w:val="000000"/>
                <w:spacing w:val="8"/>
                <w:kern w:val="0"/>
                <w:szCs w:val="28"/>
                <w14:ligatures w14:val="none"/>
              </w:rPr>
              <w:t>参考网址</w:t>
            </w:r>
          </w:p>
        </w:tc>
        <w:tc>
          <w:tcPr>
            <w:tcW w:w="4018"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4773412">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b/>
                <w:bCs/>
                <w:color w:val="000000"/>
                <w:spacing w:val="8"/>
                <w:kern w:val="0"/>
                <w:szCs w:val="28"/>
                <w14:ligatures w14:val="none"/>
              </w:rPr>
              <w:t>字段</w:t>
            </w:r>
          </w:p>
        </w:tc>
      </w:tr>
      <w:tr w14:paraId="3FF93DF4">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7133E07D">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1</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E38122B">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新闻数据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81DF813">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人民网、环球网、中国新闻网以及地方新闻网等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0C2E5DE">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关键字或版块、标题、原文链接、发布时间、正文</w:t>
            </w:r>
          </w:p>
        </w:tc>
      </w:tr>
      <w:tr w14:paraId="44072F9F">
        <w:tblPrEx>
          <w:shd w:val="clear" w:color="auto" w:fill="FFFFFF"/>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7CA9E58">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2</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329749B">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社交平台数据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86B2198">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微博、知乎、股吧、雪球等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0F4A268">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关键字或版块、发帖链接、发帖人、发布时间、帖子正文、评论数(如有)、点赞数(如有)</w:t>
            </w:r>
          </w:p>
        </w:tc>
      </w:tr>
      <w:tr w14:paraId="713D1FB1">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62BAB74F">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3</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017411E">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政策数据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729F990">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外交部、国务院新闻办、地方政府网等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057BEBC">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关键字或版块、标题、原文链接、发布时间、正文</w:t>
            </w:r>
          </w:p>
        </w:tc>
      </w:tr>
      <w:tr w14:paraId="7E282BEE">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0F5AAA2">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4</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B9FE0E4">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短视频平台数据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F837514">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抖音、小红书、快手、B站等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12F499F">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关键字或版块、发帖链接、发帖人、发布时间、帖子正文、评论数(如有)、点赞数(如有)</w:t>
            </w:r>
          </w:p>
        </w:tc>
      </w:tr>
      <w:tr w14:paraId="0426F32F">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662A3B20">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5</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D2B2997">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地图数据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BE7866E">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百度地图、高德地图、腾讯地图等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C1D1E79">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关键字或版块、地标名称、详细地址</w:t>
            </w:r>
          </w:p>
        </w:tc>
      </w:tr>
      <w:tr w14:paraId="2B224887">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654C02DA">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6</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016488D">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电商评论数据</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1EA1D84">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京东、淘宝、唯品会等</w:t>
            </w:r>
          </w:p>
        </w:tc>
        <w:tc>
          <w:tcPr>
            <w:tcW w:w="4018"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D7B380D">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 w:val="24"/>
                <w:szCs w:val="24"/>
                <w14:ligatures w14:val="none"/>
              </w:rPr>
              <w:t>商品名称、商品链接、评论人、评论内容、评论时间、评分或星级（如有）</w:t>
            </w:r>
          </w:p>
        </w:tc>
      </w:tr>
    </w:tbl>
    <w:p w14:paraId="20568343">
      <w:pPr>
        <w:pStyle w:val="4"/>
        <w:bidi w:val="0"/>
        <w:rPr>
          <w:rFonts w:hint="eastAsia"/>
          <w:lang w:val="en-US" w:eastAsia="zh-CN"/>
        </w:rPr>
      </w:pPr>
      <w:r>
        <w:rPr>
          <w:rFonts w:hint="eastAsia"/>
          <w:lang w:val="en-US" w:eastAsia="zh-CN"/>
        </w:rPr>
        <w:t>比赛方案：</w:t>
      </w:r>
    </w:p>
    <w:p w14:paraId="510B1825">
      <w:pPr>
        <w:ind w:firstLine="420" w:firstLineChars="0"/>
        <w:rPr>
          <w:rFonts w:hint="eastAsia"/>
          <w:b/>
          <w:bCs/>
          <w:lang w:val="en-US" w:eastAsia="zh-CN"/>
        </w:rPr>
      </w:pPr>
      <w:r>
        <w:rPr>
          <w:rFonts w:hint="eastAsia"/>
          <w:b/>
          <w:bCs/>
          <w:lang w:val="en-US" w:eastAsia="zh-CN"/>
        </w:rPr>
        <w:t>初赛环节1攻略：数据采集，拒绝“偏科”！</w:t>
      </w:r>
    </w:p>
    <w:p w14:paraId="4FCEC058">
      <w:pPr>
        <w:ind w:firstLine="420" w:firstLineChars="0"/>
        <w:rPr>
          <w:rFonts w:hint="eastAsia"/>
          <w:lang w:val="en-US" w:eastAsia="zh-CN"/>
        </w:rPr>
      </w:pPr>
      <w:r>
        <w:rPr>
          <w:rFonts w:hint="eastAsia"/>
          <w:lang w:val="en-US" w:eastAsia="zh-CN"/>
        </w:rPr>
        <w:t>初赛环节1看似简单，实则暗藏玄机。对于经常爬数据的参赛同学来说，我们知道不同平台、不同类型的数据爬取难度可谓天壤之别，而新闻数据的爬取无疑是其中最容易的。于是，一个“取巧”的策略浮现眼前：在5万条数据中，大部分采用新闻数据，仅留一小部分填充其他类型。</w:t>
      </w:r>
    </w:p>
    <w:p w14:paraId="56176D5D">
      <w:pPr>
        <w:ind w:firstLine="420" w:firstLineChars="0"/>
        <w:rPr>
          <w:rFonts w:hint="eastAsia"/>
          <w:lang w:val="en-US" w:eastAsia="zh-CN"/>
        </w:rPr>
      </w:pPr>
      <w:r>
        <w:rPr>
          <w:rFonts w:hint="eastAsia"/>
          <w:lang w:val="en-US" w:eastAsia="zh-CN"/>
        </w:rPr>
        <w:t>然而，比赛主办方早已预料到这种“偏科”行为，并巧妙地在初赛环节2设置了“数据采集规则制作”，这意味着你需要对八爪鱼软件了如指掌。而与其在环节2临时抱佛脚，不如在环节1就将其作为最佳练手机会！</w:t>
      </w:r>
    </w:p>
    <w:p w14:paraId="66D40C2D">
      <w:pPr>
        <w:ind w:firstLine="420" w:firstLineChars="0"/>
        <w:rPr>
          <w:rFonts w:hint="eastAsia"/>
          <w:lang w:val="en-US" w:eastAsia="zh-CN"/>
        </w:rPr>
      </w:pPr>
      <w:r>
        <w:rPr>
          <w:rFonts w:hint="eastAsia"/>
          <w:lang w:val="en-US" w:eastAsia="zh-CN"/>
        </w:rPr>
        <w:t>基于此，我们团队制定了以下比赛策略：</w:t>
      </w:r>
    </w:p>
    <w:p w14:paraId="3FA2D78C">
      <w:pPr>
        <w:ind w:firstLine="420" w:firstLineChars="0"/>
        <w:rPr>
          <w:rFonts w:hint="eastAsia"/>
          <w:lang w:val="en-US" w:eastAsia="zh-CN"/>
        </w:rPr>
      </w:pPr>
      <w:r>
        <w:rPr>
          <w:rFonts w:hint="eastAsia"/>
          <w:b/>
          <w:bCs/>
          <w:lang w:val="en-US" w:eastAsia="zh-CN"/>
        </w:rPr>
        <w:t>1. 全面覆盖，拒绝“偏科”：</w:t>
      </w:r>
      <w:r>
        <w:rPr>
          <w:rFonts w:hint="eastAsia"/>
          <w:lang w:val="en-US" w:eastAsia="zh-CN"/>
        </w:rPr>
        <w:t> 三人分工合作，每人负责一种类型数据，确保涵盖所有类型，避免单一类型数据占比过高。</w:t>
      </w:r>
    </w:p>
    <w:p w14:paraId="5AF3A48E">
      <w:pPr>
        <w:ind w:firstLine="420" w:firstLineChars="0"/>
        <w:rPr>
          <w:rFonts w:hint="eastAsia"/>
          <w:lang w:val="en-US" w:eastAsia="zh-CN"/>
        </w:rPr>
      </w:pPr>
      <w:r>
        <w:rPr>
          <w:rFonts w:hint="eastAsia"/>
          <w:b/>
          <w:bCs/>
          <w:lang w:val="en-US" w:eastAsia="zh-CN"/>
        </w:rPr>
        <w:t>2. 精选平台，事半功倍： </w:t>
      </w:r>
      <w:r>
        <w:rPr>
          <w:rFonts w:hint="eastAsia"/>
          <w:lang w:val="en-US" w:eastAsia="zh-CN"/>
        </w:rPr>
        <w:t>针对每种类型数据，选择一个最具代表性且易于爬取的平台，集中火力攻克。</w:t>
      </w:r>
    </w:p>
    <w:p w14:paraId="65D013F7">
      <w:pPr>
        <w:ind w:firstLine="420" w:firstLineChars="0"/>
        <w:rPr>
          <w:rFonts w:hint="eastAsia"/>
          <w:lang w:val="en-US" w:eastAsia="zh-CN"/>
        </w:rPr>
      </w:pPr>
      <w:r>
        <w:rPr>
          <w:rFonts w:hint="eastAsia"/>
          <w:b/>
          <w:bCs/>
          <w:lang w:val="en-US" w:eastAsia="zh-CN"/>
        </w:rPr>
        <w:t>3. 八爪鱼为主，拒绝“炫技”：</w:t>
      </w:r>
      <w:r>
        <w:rPr>
          <w:rFonts w:hint="eastAsia"/>
          <w:lang w:val="en-US" w:eastAsia="zh-CN"/>
        </w:rPr>
        <w:t> 放弃使用Python等爬虫框架，专注于八爪鱼软件的使用，将更多精力投入到数据清洗和分析中。</w:t>
      </w:r>
    </w:p>
    <w:p w14:paraId="4B8296D0">
      <w:pPr>
        <w:ind w:firstLine="420" w:firstLineChars="0"/>
        <w:rPr>
          <w:rFonts w:hint="default"/>
          <w:lang w:val="en-US" w:eastAsia="zh-CN"/>
        </w:rPr>
      </w:pPr>
      <w:r>
        <w:rPr>
          <w:rFonts w:hint="eastAsia"/>
          <w:b/>
          <w:bCs/>
          <w:lang w:val="en-US" w:eastAsia="zh-CN"/>
        </w:rPr>
        <w:t>4. 自建验证程序，确保数据质量：</w:t>
      </w:r>
      <w:r>
        <w:rPr>
          <w:rFonts w:hint="eastAsia"/>
          <w:lang w:val="en-US" w:eastAsia="zh-CN"/>
        </w:rPr>
        <w:t xml:space="preserve">根据评分标准，编写一个简单的验证程序，用于检查爬取数据的完整性、准确性和一致性。通过自建验证程序，可以及时发现并修正数据采集过程中的错误，避免在后续环节中出现问题。                                                                                                                                                                                                                                                                                                                                                                                                                                                                                                                                                                                                                                                                                                                                                                                                                                                                                                                                                                                                                                                                                                                                                                                                                                                                                                                                                                                                                                                                                                             </w:t>
      </w:r>
    </w:p>
    <w:p w14:paraId="2831302D">
      <w:pPr>
        <w:ind w:firstLine="420" w:firstLineChars="0"/>
        <w:rPr>
          <w:rFonts w:hint="default"/>
          <w:lang w:val="en-US" w:eastAsia="zh-CN"/>
        </w:rPr>
      </w:pPr>
      <w:r>
        <w:rPr>
          <w:rFonts w:hint="eastAsia"/>
          <w:lang w:val="en-US" w:eastAsia="zh-CN"/>
        </w:rPr>
        <w:t>总而言之，初赛环节1不仅是数据采集的战场，更是磨练数据采集技能的绝佳机会。拒绝“偏科”，全面发展，才能在后续比赛中游刃有余，取得佳绩。</w:t>
      </w:r>
    </w:p>
    <w:p w14:paraId="52062358">
      <w:pPr>
        <w:pStyle w:val="3"/>
        <w:bidi w:val="0"/>
        <w:rPr>
          <w:rFonts w:hint="eastAsia"/>
          <w:lang w:val="en-US" w:eastAsia="zh-CN"/>
        </w:rPr>
      </w:pPr>
      <w:r>
        <w:rPr>
          <w:rFonts w:hint="eastAsia"/>
          <w:lang w:val="en-US" w:eastAsia="zh-CN"/>
        </w:rPr>
        <w:t>初赛环节2</w:t>
      </w:r>
    </w:p>
    <w:p w14:paraId="70F29EDB">
      <w:pPr>
        <w:pStyle w:val="4"/>
        <w:bidi w:val="0"/>
        <w:rPr>
          <w:rFonts w:hint="eastAsia"/>
        </w:rPr>
      </w:pPr>
      <w:r>
        <w:rPr>
          <w:rFonts w:hint="eastAsia"/>
        </w:rPr>
        <w:t>评分标准：</w:t>
      </w:r>
    </w:p>
    <w:p w14:paraId="2E44F329">
      <w:pPr>
        <w:widowControl/>
        <w:shd w:val="clear" w:color="auto" w:fill="FFFFFF"/>
        <w:spacing w:line="240" w:lineRule="auto"/>
        <w:ind w:firstLine="420" w:firstLineChars="0"/>
        <w:rPr>
          <w:rFonts w:ascii="Microsoft YaHei UI" w:hAnsi="Microsoft YaHei UI" w:eastAsia="Microsoft YaHei UI" w:cs="宋体"/>
          <w:spacing w:val="8"/>
          <w:kern w:val="0"/>
          <w:sz w:val="26"/>
          <w:szCs w:val="26"/>
          <w14:ligatures w14:val="none"/>
        </w:rPr>
      </w:pPr>
      <w:r>
        <w:rPr>
          <w:rFonts w:hint="eastAsia" w:ascii="仿宋" w:hAnsi="仿宋" w:cs="宋体"/>
          <w:color w:val="000000"/>
          <w:spacing w:val="8"/>
          <w:kern w:val="0"/>
          <w:szCs w:val="28"/>
          <w14:ligatures w14:val="none"/>
        </w:rPr>
        <w:t>每个任务5-12分，一共5个任务，以团队为单位分工完成。组委会对提交的每个任务规则进行校验，能正常运行且能采集到样例数据≥100条，样例数据字段须与赛题完全一致，样例数据前100条空值率不得高于10%，有任何一项不符则该任务不得分。</w:t>
      </w:r>
      <w:r>
        <w:rPr>
          <w:rFonts w:hint="eastAsia" w:ascii="仿宋" w:hAnsi="仿宋" w:cs="宋体"/>
          <w:spacing w:val="8"/>
          <w:kern w:val="0"/>
          <w:szCs w:val="28"/>
          <w14:ligatures w14:val="none"/>
        </w:rPr>
        <w:t>分数相同的，则提交时间早的排名靠前。</w:t>
      </w:r>
    </w:p>
    <w:p w14:paraId="1B0D27DC">
      <w:pPr>
        <w:pStyle w:val="4"/>
        <w:bidi w:val="0"/>
        <w:rPr>
          <w:rFonts w:hint="eastAsia"/>
        </w:rPr>
      </w:pPr>
      <w:r>
        <w:rPr>
          <w:rFonts w:hint="eastAsia"/>
        </w:rPr>
        <w:t>项目任务：</w:t>
      </w:r>
    </w:p>
    <w:p w14:paraId="613BDFE3">
      <w:pPr>
        <w:ind w:firstLine="420" w:firstLineChars="0"/>
        <w:rPr>
          <w:rFonts w:hint="eastAsia" w:ascii="仿宋" w:hAnsi="仿宋" w:cs="宋体"/>
          <w:color w:val="000000"/>
          <w:spacing w:val="8"/>
          <w:kern w:val="0"/>
          <w:szCs w:val="28"/>
          <w14:ligatures w14:val="none"/>
        </w:rPr>
      </w:pPr>
      <w:r>
        <w:rPr>
          <w:rFonts w:hint="eastAsia" w:ascii="仿宋" w:hAnsi="仿宋" w:cs="宋体"/>
          <w:color w:val="000000"/>
          <w:spacing w:val="8"/>
          <w:kern w:val="0"/>
          <w:szCs w:val="28"/>
          <w14:ligatures w14:val="none"/>
        </w:rPr>
        <w:t>利用八爪鱼等数据采集工具完成赛题要求的数据采集规则制作，制作完成后导出规则文件及样例数据提交。</w:t>
      </w:r>
    </w:p>
    <w:p w14:paraId="2B7B00B6">
      <w:pPr>
        <w:ind w:firstLine="420" w:firstLineChars="0"/>
        <w:rPr>
          <w:rFonts w:hint="eastAsia" w:ascii="仿宋" w:hAnsi="仿宋" w:cs="宋体"/>
          <w:color w:val="000000"/>
          <w:spacing w:val="8"/>
          <w:kern w:val="0"/>
          <w:szCs w:val="28"/>
          <w14:ligatures w14:val="none"/>
        </w:rPr>
      </w:pPr>
    </w:p>
    <w:p w14:paraId="2C48E58B">
      <w:pPr>
        <w:widowControl/>
        <w:numPr>
          <w:ilvl w:val="0"/>
          <w:numId w:val="1"/>
        </w:numPr>
        <w:shd w:val="clear" w:color="auto" w:fill="FFFFFF"/>
        <w:spacing w:line="240" w:lineRule="auto"/>
        <w:ind w:left="420" w:leftChars="0" w:hanging="420" w:firstLineChars="0"/>
        <w:rPr>
          <w:rFonts w:ascii="Microsoft YaHei UI" w:hAnsi="Microsoft YaHei UI" w:eastAsia="Microsoft YaHei UI" w:cs="宋体"/>
          <w:spacing w:val="8"/>
          <w:kern w:val="0"/>
          <w:sz w:val="26"/>
          <w:szCs w:val="26"/>
          <w14:ligatures w14:val="none"/>
        </w:rPr>
      </w:pPr>
      <w:r>
        <w:rPr>
          <w:rFonts w:hint="eastAsia" w:ascii="仿宋" w:hAnsi="仿宋" w:cs="宋体"/>
          <w:spacing w:val="8"/>
          <w:kern w:val="0"/>
          <w:szCs w:val="28"/>
          <w14:ligatures w14:val="none"/>
        </w:rPr>
        <w:t>选手下载数据采集工具。</w:t>
      </w:r>
    </w:p>
    <w:p w14:paraId="64B0EA2A">
      <w:pPr>
        <w:widowControl/>
        <w:numPr>
          <w:ilvl w:val="0"/>
          <w:numId w:val="1"/>
        </w:numPr>
        <w:shd w:val="clear" w:color="auto" w:fill="FFFFFF"/>
        <w:spacing w:line="240" w:lineRule="auto"/>
        <w:ind w:left="420" w:leftChars="0" w:hanging="420" w:firstLineChars="0"/>
        <w:rPr>
          <w:rFonts w:ascii="Microsoft YaHei UI" w:hAnsi="Microsoft YaHei UI" w:eastAsia="Microsoft YaHei UI" w:cs="宋体"/>
          <w:spacing w:val="8"/>
          <w:kern w:val="0"/>
          <w:sz w:val="26"/>
          <w:szCs w:val="26"/>
          <w14:ligatures w14:val="none"/>
        </w:rPr>
      </w:pPr>
      <w:r>
        <w:rPr>
          <w:rFonts w:hint="eastAsia" w:ascii="仿宋" w:hAnsi="仿宋" w:cs="宋体"/>
          <w:spacing w:val="8"/>
          <w:kern w:val="0"/>
          <w:szCs w:val="28"/>
          <w14:ligatures w14:val="none"/>
        </w:rPr>
        <w:t>根据赛题任务制作对应的采集规则文件，顺序不限；</w:t>
      </w:r>
    </w:p>
    <w:p w14:paraId="7A95157C">
      <w:pPr>
        <w:widowControl/>
        <w:numPr>
          <w:ilvl w:val="0"/>
          <w:numId w:val="1"/>
        </w:numPr>
        <w:shd w:val="clear" w:color="auto" w:fill="FFFFFF"/>
        <w:spacing w:line="240" w:lineRule="auto"/>
        <w:ind w:left="420" w:leftChars="0" w:hanging="420" w:firstLineChars="0"/>
        <w:rPr>
          <w:rFonts w:ascii="Microsoft YaHei UI" w:hAnsi="Microsoft YaHei UI" w:eastAsia="Microsoft YaHei UI" w:cs="宋体"/>
          <w:spacing w:val="8"/>
          <w:kern w:val="0"/>
          <w:sz w:val="26"/>
          <w:szCs w:val="26"/>
          <w14:ligatures w14:val="none"/>
        </w:rPr>
      </w:pPr>
      <w:r>
        <w:rPr>
          <w:rFonts w:hint="eastAsia" w:ascii="仿宋" w:hAnsi="仿宋" w:cs="宋体"/>
          <w:spacing w:val="8"/>
          <w:kern w:val="0"/>
          <w:szCs w:val="28"/>
          <w14:ligatures w14:val="none"/>
        </w:rPr>
        <w:t>完成某一赛题规则后进行试采集，采集样例数据符合赛题要求后导出样例数据文件和任务规则文件（otd后缀文件）。</w:t>
      </w:r>
    </w:p>
    <w:p w14:paraId="73B0C4C5">
      <w:pPr>
        <w:widowControl/>
        <w:numPr>
          <w:ilvl w:val="0"/>
          <w:numId w:val="1"/>
        </w:numPr>
        <w:shd w:val="clear" w:color="auto" w:fill="FFFFFF"/>
        <w:spacing w:line="240" w:lineRule="auto"/>
        <w:ind w:left="420" w:leftChars="0" w:hanging="420" w:firstLineChars="0"/>
        <w:rPr>
          <w:rFonts w:hint="eastAsia" w:ascii="仿宋" w:hAnsi="仿宋" w:cs="宋体"/>
          <w:color w:val="000000"/>
          <w:spacing w:val="8"/>
          <w:kern w:val="0"/>
          <w:szCs w:val="28"/>
          <w14:ligatures w14:val="none"/>
        </w:rPr>
      </w:pPr>
      <w:r>
        <w:rPr>
          <w:rFonts w:hint="eastAsia" w:ascii="仿宋" w:hAnsi="仿宋" w:cs="宋体"/>
          <w:spacing w:val="8"/>
          <w:kern w:val="0"/>
          <w:szCs w:val="28"/>
          <w14:ligatures w14:val="none"/>
        </w:rPr>
        <w:t>命名规则：导出文件按照题目1.otd，题目1.xls方式命名，压缩包命名为参赛队编号+初赛环节2。</w:t>
      </w:r>
    </w:p>
    <w:p w14:paraId="04CE45FF">
      <w:pPr>
        <w:pStyle w:val="4"/>
        <w:bidi w:val="0"/>
        <w:rPr>
          <w:rFonts w:hint="eastAsia"/>
          <w:lang w:val="en-US" w:eastAsia="zh-CN"/>
        </w:rPr>
      </w:pPr>
      <w:r>
        <w:rPr>
          <w:rFonts w:hint="eastAsia"/>
          <w:lang w:val="en-US" w:eastAsia="zh-CN"/>
        </w:rPr>
        <w:t>比赛方案：</w:t>
      </w:r>
    </w:p>
    <w:p w14:paraId="612BA108">
      <w:pPr>
        <w:ind w:firstLine="420" w:firstLineChars="0"/>
        <w:rPr>
          <w:rFonts w:hint="eastAsia"/>
          <w:lang w:val="en-US" w:eastAsia="zh-CN"/>
        </w:rPr>
      </w:pPr>
      <w:r>
        <w:rPr>
          <w:rFonts w:hint="eastAsia"/>
          <w:lang w:val="en-US" w:eastAsia="zh-CN"/>
        </w:rPr>
        <w:t>在初赛环节1，我们团队就展现出了强大的协作能力和对工具的熟练运用。我们深知，数据采集规则的制作是数据爬取的关键，而八爪鱼软件则是我们手中的利器。</w:t>
      </w:r>
    </w:p>
    <w:p w14:paraId="181FF173">
      <w:pPr>
        <w:ind w:firstLine="420" w:firstLineChars="0"/>
        <w:rPr>
          <w:rFonts w:hint="eastAsia"/>
          <w:lang w:val="en-US" w:eastAsia="zh-CN"/>
        </w:rPr>
      </w:pPr>
      <w:r>
        <w:rPr>
          <w:rFonts w:hint="eastAsia"/>
          <w:b/>
          <w:bCs/>
          <w:lang w:val="en-US" w:eastAsia="zh-CN"/>
        </w:rPr>
        <w:t>1. 分工协作，全面覆盖</w:t>
      </w:r>
      <w:r>
        <w:rPr>
          <w:rFonts w:hint="eastAsia"/>
          <w:lang w:val="en-US" w:eastAsia="zh-CN"/>
        </w:rPr>
        <w:t>： 我们三人分工明确，每人负责不同类型数据的采集规则制作。我们精选了最具代表性的平台，集中火力攻克，确保每种类型数据都能高质量地采集。</w:t>
      </w:r>
    </w:p>
    <w:p w14:paraId="24DE391E">
      <w:pPr>
        <w:ind w:firstLine="420" w:firstLineChars="0"/>
        <w:rPr>
          <w:rFonts w:hint="eastAsia"/>
          <w:lang w:val="en-US" w:eastAsia="zh-CN"/>
        </w:rPr>
      </w:pPr>
      <w:r>
        <w:rPr>
          <w:rFonts w:hint="eastAsia"/>
          <w:b/>
          <w:bCs/>
          <w:lang w:val="en-US" w:eastAsia="zh-CN"/>
        </w:rPr>
        <w:t>2. 实战演练，精益求精：</w:t>
      </w:r>
      <w:r>
        <w:rPr>
          <w:rFonts w:hint="eastAsia"/>
          <w:lang w:val="en-US" w:eastAsia="zh-CN"/>
        </w:rPr>
        <w:t> 在完成初赛环节1的过程中，我们不断进行实战演练，模拟各种可能出现的情况，并及时调整规则，确保其稳定性和可靠性。</w:t>
      </w:r>
    </w:p>
    <w:p w14:paraId="3D0ED424">
      <w:pPr>
        <w:ind w:firstLine="420" w:firstLineChars="0"/>
        <w:rPr>
          <w:rFonts w:hint="eastAsia"/>
          <w:lang w:val="en-US" w:eastAsia="zh-CN"/>
        </w:rPr>
      </w:pPr>
      <w:r>
        <w:rPr>
          <w:rFonts w:hint="eastAsia"/>
          <w:b/>
          <w:bCs/>
          <w:lang w:val="en-US" w:eastAsia="zh-CN"/>
        </w:rPr>
        <w:t>3. 交叉验证，提升鲁棒性：</w:t>
      </w:r>
      <w:r>
        <w:rPr>
          <w:rFonts w:hint="eastAsia"/>
          <w:lang w:val="en-US" w:eastAsia="zh-CN"/>
        </w:rPr>
        <w:t> 为了进一步提高我们制作出的采集规则的鲁棒性，在制作完采集规则之后，我们会安排一位同学在另一台电脑上运行导出的.otd文件，进行交叉验证。通过这种“双保险”的方式，我们能够及时发现并修正潜在问题，确保采集规则在不同环境下都能稳定运行。</w:t>
      </w:r>
    </w:p>
    <w:p w14:paraId="1BE3E418">
      <w:pPr>
        <w:ind w:firstLine="420" w:firstLineChars="0"/>
        <w:rPr>
          <w:rFonts w:hint="default"/>
          <w:lang w:val="en-US" w:eastAsia="zh-CN"/>
        </w:rPr>
      </w:pPr>
      <w:r>
        <w:rPr>
          <w:rFonts w:hint="eastAsia"/>
          <w:lang w:val="en-US" w:eastAsia="zh-CN"/>
        </w:rPr>
        <w:t>得益于初赛环节1的充分准备，我们在赛时能够游刃有余地应对各种数据爬取需求。我们只需根据题目给出的明确需求，让相应的队员快速完成任务即可。这种高效的协作模式和强大的技术储备，为我们最终取得的优异成绩奠定了坚实的基础。</w:t>
      </w:r>
    </w:p>
    <w:p w14:paraId="24A675A9">
      <w:pPr>
        <w:pStyle w:val="3"/>
        <w:bidi w:val="0"/>
        <w:rPr>
          <w:rFonts w:hint="eastAsia"/>
          <w:lang w:val="en-US" w:eastAsia="zh-CN"/>
        </w:rPr>
      </w:pPr>
      <w:r>
        <w:rPr>
          <w:rFonts w:hint="eastAsia"/>
          <w:lang w:val="en-US" w:eastAsia="zh-CN"/>
        </w:rPr>
        <w:t>初赛环节3</w:t>
      </w:r>
    </w:p>
    <w:p w14:paraId="66B5E56F">
      <w:pPr>
        <w:pStyle w:val="4"/>
        <w:bidi w:val="0"/>
        <w:rPr>
          <w:rFonts w:hint="eastAsia"/>
        </w:rPr>
      </w:pPr>
      <w:r>
        <w:rPr>
          <w:rFonts w:hint="eastAsia"/>
        </w:rPr>
        <w:t>评分标准：</w:t>
      </w:r>
    </w:p>
    <w:p w14:paraId="585AF0C6">
      <w:pPr>
        <w:widowControl/>
        <w:shd w:val="clear" w:color="auto" w:fill="FFFFFF"/>
        <w:spacing w:line="240" w:lineRule="auto"/>
        <w:ind w:firstLine="420" w:firstLineChars="0"/>
        <w:rPr>
          <w:rFonts w:ascii="Microsoft YaHei UI" w:hAnsi="Microsoft YaHei UI" w:eastAsia="Microsoft YaHei UI" w:cs="宋体"/>
          <w:spacing w:val="8"/>
          <w:kern w:val="0"/>
          <w:sz w:val="26"/>
          <w:szCs w:val="26"/>
          <w14:ligatures w14:val="none"/>
        </w:rPr>
      </w:pPr>
      <w:r>
        <w:rPr>
          <w:rFonts w:hint="eastAsia" w:ascii="仿宋" w:hAnsi="仿宋" w:cs="宋体"/>
          <w:spacing w:val="8"/>
          <w:kern w:val="0"/>
          <w:szCs w:val="28"/>
          <w14:ligatures w14:val="none"/>
        </w:rPr>
        <w:t>选手提交数据进行分析的方案报告,其中：分析工具、思路和方法10分，分析过程15分，分析结果和结论15分，对策建议10分。提交报告由多位专家评委盲测评分，取专家评分平均分为最终得分。分数相同的，则提交时间早的排名靠前。</w:t>
      </w:r>
    </w:p>
    <w:p w14:paraId="211B30F1">
      <w:pPr>
        <w:pStyle w:val="4"/>
        <w:bidi w:val="0"/>
        <w:rPr>
          <w:rFonts w:hint="eastAsia"/>
        </w:rPr>
      </w:pPr>
      <w:r>
        <w:rPr>
          <w:rFonts w:hint="eastAsia"/>
        </w:rPr>
        <w:t>项目任务：</w:t>
      </w:r>
    </w:p>
    <w:p w14:paraId="28E5899F">
      <w:pPr>
        <w:ind w:firstLine="420" w:firstLineChars="0"/>
        <w:rPr>
          <w:rFonts w:hint="eastAsia" w:ascii="仿宋" w:hAnsi="仿宋" w:cs="宋体"/>
          <w:spacing w:val="8"/>
          <w:kern w:val="0"/>
          <w:szCs w:val="28"/>
          <w14:ligatures w14:val="none"/>
        </w:rPr>
      </w:pPr>
      <w:r>
        <w:rPr>
          <w:rFonts w:hint="eastAsia" w:ascii="仿宋" w:hAnsi="仿宋" w:cs="宋体"/>
          <w:spacing w:val="8"/>
          <w:kern w:val="0"/>
          <w:szCs w:val="28"/>
          <w14:ligatures w14:val="none"/>
        </w:rPr>
        <w:t>选手对所采集的数据进行分析并形成方案报告,</w:t>
      </w:r>
      <w:r>
        <w:rPr>
          <w:rFonts w:ascii="Calibri" w:hAnsi="Calibri" w:cs="Calibri"/>
          <w:spacing w:val="8"/>
          <w:kern w:val="0"/>
          <w:szCs w:val="28"/>
          <w14:ligatures w14:val="none"/>
        </w:rPr>
        <w:t> </w:t>
      </w:r>
      <w:r>
        <w:rPr>
          <w:rFonts w:hint="eastAsia" w:ascii="仿宋" w:hAnsi="仿宋" w:cs="宋体"/>
          <w:spacing w:val="8"/>
          <w:kern w:val="0"/>
          <w:szCs w:val="28"/>
          <w14:ligatures w14:val="none"/>
        </w:rPr>
        <w:t>方案报告需要能够准确、清晰描述整个分析过程和分析结果，包含：使用的分析工具、分析思路、分析方法；分析过程、分析结果及结论；提出有针对性的对策和建议。</w:t>
      </w:r>
    </w:p>
    <w:p w14:paraId="75F243E3">
      <w:pPr>
        <w:ind w:firstLine="420" w:firstLineChars="0"/>
        <w:rPr>
          <w:rFonts w:hint="eastAsia" w:ascii="仿宋" w:hAnsi="仿宋" w:cs="宋体"/>
          <w:spacing w:val="8"/>
          <w:kern w:val="0"/>
          <w:szCs w:val="28"/>
          <w14:ligatures w14:val="none"/>
        </w:rPr>
      </w:pPr>
    </w:p>
    <w:p w14:paraId="7B0C0D9B">
      <w:pPr>
        <w:ind w:firstLine="420" w:firstLineChars="0"/>
        <w:rPr>
          <w:rFonts w:hint="eastAsia" w:ascii="仿宋" w:hAnsi="仿宋" w:cs="宋体"/>
          <w:spacing w:val="8"/>
          <w:kern w:val="0"/>
          <w:szCs w:val="28"/>
          <w14:ligatures w14:val="none"/>
        </w:rPr>
      </w:pPr>
    </w:p>
    <w:tbl>
      <w:tblPr>
        <w:tblStyle w:val="8"/>
        <w:tblW w:w="9039" w:type="dxa"/>
        <w:tblInd w:w="0" w:type="dxa"/>
        <w:shd w:val="clear" w:color="auto" w:fill="FFFFFF"/>
        <w:tblLayout w:type="autofit"/>
        <w:tblCellMar>
          <w:top w:w="0" w:type="dxa"/>
          <w:left w:w="0" w:type="dxa"/>
          <w:bottom w:w="0" w:type="dxa"/>
          <w:right w:w="0" w:type="dxa"/>
        </w:tblCellMar>
      </w:tblPr>
      <w:tblGrid>
        <w:gridCol w:w="525"/>
        <w:gridCol w:w="679"/>
        <w:gridCol w:w="1965"/>
        <w:gridCol w:w="5870"/>
      </w:tblGrid>
      <w:tr w14:paraId="30BC6B52">
        <w:tblPrEx>
          <w:shd w:val="clear" w:color="auto" w:fill="FFFFFF"/>
          <w:tblCellMar>
            <w:top w:w="0" w:type="dxa"/>
            <w:left w:w="0" w:type="dxa"/>
            <w:bottom w:w="0" w:type="dxa"/>
            <w:right w:w="0" w:type="dxa"/>
          </w:tblCellMar>
        </w:tblPrEx>
        <w:tc>
          <w:tcPr>
            <w:tcW w:w="0" w:type="auto"/>
            <w:tcBorders>
              <w:top w:val="single" w:color="auto" w:sz="8" w:space="0"/>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205FCCBF">
            <w:pPr>
              <w:widowControl/>
              <w:spacing w:line="383" w:lineRule="atLeast"/>
              <w:jc w:val="center"/>
              <w:rPr>
                <w:rFonts w:ascii="Microsoft YaHei UI" w:hAnsi="Microsoft YaHei UI" w:eastAsia="Microsoft YaHei UI" w:cs="宋体"/>
                <w:spacing w:val="8"/>
                <w:kern w:val="0"/>
                <w:sz w:val="26"/>
                <w:szCs w:val="26"/>
                <w14:ligatures w14:val="none"/>
              </w:rPr>
            </w:pPr>
            <w:r>
              <w:rPr>
                <w:rFonts w:hint="eastAsia" w:ascii="宋体" w:hAnsi="宋体" w:eastAsia="宋体" w:cs="宋体"/>
                <w:b/>
                <w:bCs/>
                <w:color w:val="000000"/>
                <w:spacing w:val="8"/>
                <w:kern w:val="0"/>
                <w:sz w:val="24"/>
                <w:szCs w:val="24"/>
                <w14:ligatures w14:val="none"/>
              </w:rPr>
              <w:t>序号</w:t>
            </w:r>
          </w:p>
        </w:tc>
        <w:tc>
          <w:tcPr>
            <w:tcW w:w="0" w:type="auto"/>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63E8B6A">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宋体" w:hAnsi="宋体" w:eastAsia="宋体" w:cs="宋体"/>
                <w:b/>
                <w:bCs/>
                <w:color w:val="000000"/>
                <w:spacing w:val="8"/>
                <w:kern w:val="0"/>
                <w:sz w:val="24"/>
                <w:szCs w:val="24"/>
                <w14:ligatures w14:val="none"/>
              </w:rPr>
              <w:t>选题方式</w:t>
            </w:r>
          </w:p>
        </w:tc>
        <w:tc>
          <w:tcPr>
            <w:tcW w:w="0" w:type="auto"/>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87714AE">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宋体" w:hAnsi="宋体" w:eastAsia="宋体" w:cs="宋体"/>
                <w:b/>
                <w:bCs/>
                <w:color w:val="000000"/>
                <w:spacing w:val="8"/>
                <w:kern w:val="0"/>
                <w:sz w:val="24"/>
                <w:szCs w:val="24"/>
                <w14:ligatures w14:val="none"/>
              </w:rPr>
              <w:t>题目或方向</w:t>
            </w:r>
          </w:p>
        </w:tc>
        <w:tc>
          <w:tcPr>
            <w:tcW w:w="5871" w:type="dxa"/>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B6159BD">
            <w:pPr>
              <w:widowControl/>
              <w:wordWrap w:val="0"/>
              <w:spacing w:line="383" w:lineRule="atLeast"/>
              <w:jc w:val="center"/>
              <w:rPr>
                <w:rFonts w:ascii="Microsoft YaHei UI" w:hAnsi="Microsoft YaHei UI" w:eastAsia="Microsoft YaHei UI" w:cs="宋体"/>
                <w:spacing w:val="8"/>
                <w:kern w:val="0"/>
                <w:sz w:val="26"/>
                <w:szCs w:val="26"/>
                <w14:ligatures w14:val="none"/>
              </w:rPr>
            </w:pPr>
            <w:r>
              <w:rPr>
                <w:rFonts w:hint="eastAsia" w:ascii="宋体" w:hAnsi="宋体" w:eastAsia="宋体" w:cs="宋体"/>
                <w:b/>
                <w:bCs/>
                <w:color w:val="000000"/>
                <w:spacing w:val="8"/>
                <w:kern w:val="0"/>
                <w:sz w:val="24"/>
                <w:szCs w:val="24"/>
                <w14:ligatures w14:val="none"/>
              </w:rPr>
              <w:t>详细内容</w:t>
            </w:r>
          </w:p>
        </w:tc>
      </w:tr>
      <w:tr w14:paraId="39BC7C46">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476E0374">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w:t>
            </w:r>
          </w:p>
        </w:tc>
        <w:tc>
          <w:tcPr>
            <w:tcW w:w="0" w:type="auto"/>
            <w:vMerge w:val="restart"/>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2874ABC">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开放式选题</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B4B0714">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社交媒体情报分析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85B82FB">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通过采集社交媒体平台上的用户发贴数据，收集和分析用户发布的信息，了解公众对特定话题或事件的意见和情感倾向，以帮助政府、企业等了解公众舆情和市场动向。</w:t>
            </w:r>
          </w:p>
        </w:tc>
      </w:tr>
      <w:tr w14:paraId="21E84181">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0EF85FE6">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2</w:t>
            </w:r>
          </w:p>
        </w:tc>
        <w:tc>
          <w:tcPr>
            <w:tcW w:w="0" w:type="auto"/>
            <w:vMerge w:val="continue"/>
            <w:tcBorders>
              <w:top w:val="nil"/>
              <w:left w:val="nil"/>
              <w:bottom w:val="single" w:color="auto" w:sz="8" w:space="0"/>
              <w:right w:val="single" w:color="auto" w:sz="8" w:space="0"/>
            </w:tcBorders>
            <w:shd w:val="clear" w:color="auto" w:fill="FFFFFF"/>
            <w:vAlign w:val="center"/>
          </w:tcPr>
          <w:p w14:paraId="6983C58E">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F3ED1F7">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网络犯罪情报分析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809FAD3">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通过分析犯罪组织在互联网上的宣传、招募和策划活动，获取有关其组织结构、领导层、战术等方面的情报，以便制定反恐策略和行动。</w:t>
            </w:r>
          </w:p>
        </w:tc>
      </w:tr>
      <w:tr w14:paraId="07D216E2">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6625A4F6">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3</w:t>
            </w:r>
          </w:p>
        </w:tc>
        <w:tc>
          <w:tcPr>
            <w:tcW w:w="0" w:type="auto"/>
            <w:vMerge w:val="continue"/>
            <w:tcBorders>
              <w:top w:val="nil"/>
              <w:left w:val="nil"/>
              <w:bottom w:val="single" w:color="auto" w:sz="8" w:space="0"/>
              <w:right w:val="single" w:color="auto" w:sz="8" w:space="0"/>
            </w:tcBorders>
            <w:shd w:val="clear" w:color="auto" w:fill="FFFFFF"/>
            <w:vAlign w:val="center"/>
          </w:tcPr>
          <w:p w14:paraId="4D366CEC">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BFD87BB">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金融情报分析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84CDD4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通过分析金融市场的公开信息，如公司财报、股价、市场交易等，获取有关公司、行业和市场趋势的情报，以支持投资决策和风,险管理</w:t>
            </w:r>
          </w:p>
        </w:tc>
      </w:tr>
      <w:tr w14:paraId="305DB9EE">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21C49C04">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4</w:t>
            </w:r>
          </w:p>
        </w:tc>
        <w:tc>
          <w:tcPr>
            <w:tcW w:w="0" w:type="auto"/>
            <w:vMerge w:val="continue"/>
            <w:tcBorders>
              <w:top w:val="nil"/>
              <w:left w:val="nil"/>
              <w:bottom w:val="single" w:color="auto" w:sz="8" w:space="0"/>
              <w:right w:val="single" w:color="auto" w:sz="8" w:space="0"/>
            </w:tcBorders>
            <w:shd w:val="clear" w:color="auto" w:fill="FFFFFF"/>
            <w:vAlign w:val="center"/>
          </w:tcPr>
          <w:p w14:paraId="0EA21CF9">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C3E35EC">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商业情报分析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9A7AB26">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通过采集商业公司的公开信息，如新产品发布、市场营销活动、人才招聘等，了解其战略意图和动向，以改进自己的产品和服务。</w:t>
            </w:r>
          </w:p>
        </w:tc>
      </w:tr>
      <w:tr w14:paraId="06A8440C">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16B2B34F">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5</w:t>
            </w:r>
          </w:p>
        </w:tc>
        <w:tc>
          <w:tcPr>
            <w:tcW w:w="0" w:type="auto"/>
            <w:vMerge w:val="continue"/>
            <w:tcBorders>
              <w:top w:val="nil"/>
              <w:left w:val="nil"/>
              <w:bottom w:val="single" w:color="auto" w:sz="8" w:space="0"/>
              <w:right w:val="single" w:color="auto" w:sz="8" w:space="0"/>
            </w:tcBorders>
            <w:shd w:val="clear" w:color="auto" w:fill="FFFFFF"/>
            <w:vAlign w:val="center"/>
          </w:tcPr>
          <w:p w14:paraId="60959AFD">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667CC13">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网络安全情报分析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70CF1E2">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通过采集互联网上的激进言论、潜在网络威胁活动，获取有关潜在网络威胁的情报，以加强网络安全防御和事件响应能力。</w:t>
            </w:r>
          </w:p>
        </w:tc>
      </w:tr>
      <w:tr w14:paraId="43EF8869">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004724C7">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6</w:t>
            </w:r>
          </w:p>
        </w:tc>
        <w:tc>
          <w:tcPr>
            <w:tcW w:w="0" w:type="auto"/>
            <w:vMerge w:val="continue"/>
            <w:tcBorders>
              <w:top w:val="nil"/>
              <w:left w:val="nil"/>
              <w:bottom w:val="single" w:color="auto" w:sz="8" w:space="0"/>
              <w:right w:val="single" w:color="auto" w:sz="8" w:space="0"/>
            </w:tcBorders>
            <w:shd w:val="clear" w:color="auto" w:fill="FFFFFF"/>
            <w:vAlign w:val="center"/>
          </w:tcPr>
          <w:p w14:paraId="445AA469">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46219E0">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教育资源情报分析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287846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通过采集网络上教育资源的公开信息，比如采集各个地区教育资源（学校、师资、教学设施等）信息，采集就业市场信息，分析各个地区资源配置的情况、人才培养需求和就业市场供需关系等。</w:t>
            </w:r>
          </w:p>
        </w:tc>
      </w:tr>
      <w:tr w14:paraId="00584645">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750FCEF">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7</w:t>
            </w:r>
          </w:p>
        </w:tc>
        <w:tc>
          <w:tcPr>
            <w:tcW w:w="0" w:type="auto"/>
            <w:vMerge w:val="continue"/>
            <w:tcBorders>
              <w:top w:val="nil"/>
              <w:left w:val="nil"/>
              <w:bottom w:val="single" w:color="auto" w:sz="8" w:space="0"/>
              <w:right w:val="single" w:color="auto" w:sz="8" w:space="0"/>
            </w:tcBorders>
            <w:shd w:val="clear" w:color="auto" w:fill="FFFFFF"/>
            <w:vAlign w:val="center"/>
          </w:tcPr>
          <w:p w14:paraId="59044007">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3193944">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政府治理情报分析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9B6AEAF">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通过采集政府相关数据进行数据分析，了解政府治理情况，以支持政策效果评估、公共服务优化、政府决策支持等。</w:t>
            </w:r>
          </w:p>
        </w:tc>
      </w:tr>
      <w:tr w14:paraId="29163513">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58C7E9C">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8</w:t>
            </w:r>
          </w:p>
        </w:tc>
        <w:tc>
          <w:tcPr>
            <w:tcW w:w="0" w:type="auto"/>
            <w:vMerge w:val="continue"/>
            <w:tcBorders>
              <w:top w:val="nil"/>
              <w:left w:val="nil"/>
              <w:bottom w:val="single" w:color="auto" w:sz="8" w:space="0"/>
              <w:right w:val="single" w:color="auto" w:sz="8" w:space="0"/>
            </w:tcBorders>
            <w:shd w:val="clear" w:color="auto" w:fill="FFFFFF"/>
            <w:vAlign w:val="center"/>
          </w:tcPr>
          <w:p w14:paraId="09E213B3">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11A608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医疗健康情报分析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BF675E9">
            <w:pPr>
              <w:widowControl/>
              <w:wordWrap w:val="0"/>
              <w:spacing w:line="383" w:lineRule="atLeast"/>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通过采集医疗健康领域的数据进行数据分析，以支持疾病流行趋势分析、不同地区的医疗资源分配优化、个性化医疗服务等。</w:t>
            </w:r>
          </w:p>
        </w:tc>
      </w:tr>
      <w:tr w14:paraId="08D0FC2A">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3FEF40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9</w:t>
            </w:r>
          </w:p>
        </w:tc>
        <w:tc>
          <w:tcPr>
            <w:tcW w:w="0" w:type="auto"/>
            <w:vMerge w:val="restart"/>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6E5112D">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固定式选题</w:t>
            </w: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CD0DA9E">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主要竞争国对华投资情况分析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35FAF33">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日本，美国，德国，英国及台湾地区在内地投资控股企业信息采集和分析（参赛团队选一个国家或地区进行采集分析），根据采集数据完整度及分析的深度进行评分。</w:t>
            </w:r>
          </w:p>
        </w:tc>
      </w:tr>
      <w:tr w14:paraId="3284FA74">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466996B">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10</w:t>
            </w:r>
          </w:p>
        </w:tc>
        <w:tc>
          <w:tcPr>
            <w:tcW w:w="0" w:type="auto"/>
            <w:vMerge w:val="continue"/>
            <w:tcBorders>
              <w:top w:val="nil"/>
              <w:left w:val="nil"/>
              <w:bottom w:val="single" w:color="auto" w:sz="8" w:space="0"/>
              <w:right w:val="single" w:color="auto" w:sz="8" w:space="0"/>
            </w:tcBorders>
            <w:shd w:val="clear" w:color="auto" w:fill="FFFFFF"/>
            <w:vAlign w:val="center"/>
          </w:tcPr>
          <w:p w14:paraId="7F18869E">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AF1590D">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低空经济领域无人机与载人低空城际通航的数据洞察与未来趋势分析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7F23917">
            <w:pPr>
              <w:widowControl/>
              <w:wordWrap w:val="0"/>
              <w:spacing w:line="383" w:lineRule="atLeast"/>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利用开源数据对全球或特定地区的无人机市场进行分析，要求参赛者通过数据挖掘揭示行业动态，评估潜在危险因素，并提出建设性策略和建议，同时预测市场发展障碍以及未来发展趋势。</w:t>
            </w:r>
          </w:p>
        </w:tc>
      </w:tr>
      <w:tr w14:paraId="5D6742B6">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3288F87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11</w:t>
            </w:r>
          </w:p>
        </w:tc>
        <w:tc>
          <w:tcPr>
            <w:tcW w:w="0" w:type="auto"/>
            <w:vMerge w:val="continue"/>
            <w:tcBorders>
              <w:top w:val="nil"/>
              <w:left w:val="nil"/>
              <w:bottom w:val="single" w:color="auto" w:sz="8" w:space="0"/>
              <w:right w:val="single" w:color="auto" w:sz="8" w:space="0"/>
            </w:tcBorders>
            <w:shd w:val="clear" w:color="auto" w:fill="FFFFFF"/>
            <w:vAlign w:val="center"/>
          </w:tcPr>
          <w:p w14:paraId="4BB12CF9">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7171F53">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2024年国际竞争新形势分析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D19AF4E">
            <w:pPr>
              <w:widowControl/>
              <w:wordWrap w:val="0"/>
              <w:spacing w:line="383" w:lineRule="atLeast"/>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结合2023-2024年主要竞争国（如美国、日本、德国、英国等任选一个或多个国家）对华经济、文化、立法、科技等方面的数据进行采集和分析，并预测未来可能产生的影响和趋势。</w:t>
            </w:r>
          </w:p>
        </w:tc>
      </w:tr>
      <w:tr w14:paraId="00F5F3CC">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5D77383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12</w:t>
            </w:r>
          </w:p>
        </w:tc>
        <w:tc>
          <w:tcPr>
            <w:tcW w:w="0" w:type="auto"/>
            <w:vMerge w:val="continue"/>
            <w:tcBorders>
              <w:top w:val="nil"/>
              <w:left w:val="nil"/>
              <w:bottom w:val="single" w:color="auto" w:sz="8" w:space="0"/>
              <w:right w:val="single" w:color="auto" w:sz="8" w:space="0"/>
            </w:tcBorders>
            <w:shd w:val="clear" w:color="auto" w:fill="FFFFFF"/>
            <w:vAlign w:val="center"/>
          </w:tcPr>
          <w:p w14:paraId="41B4E96E">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546BEB10">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南海战略分析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B25B74D">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分析南海声索国政府和民间对中国的舆论态度，评估认知战在南海争议中的作用和影响，结合分析结果提出促进南海地区舆论理解和认知战态势改善的策略。</w:t>
            </w:r>
          </w:p>
        </w:tc>
      </w:tr>
      <w:tr w14:paraId="06774694">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76967F05">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13</w:t>
            </w:r>
          </w:p>
        </w:tc>
        <w:tc>
          <w:tcPr>
            <w:tcW w:w="0" w:type="auto"/>
            <w:vMerge w:val="continue"/>
            <w:tcBorders>
              <w:top w:val="nil"/>
              <w:left w:val="nil"/>
              <w:bottom w:val="single" w:color="auto" w:sz="8" w:space="0"/>
              <w:right w:val="single" w:color="auto" w:sz="8" w:space="0"/>
            </w:tcBorders>
            <w:shd w:val="clear" w:color="auto" w:fill="FFFFFF"/>
            <w:vAlign w:val="center"/>
          </w:tcPr>
          <w:p w14:paraId="0693DF94">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1F4DA0C">
            <w:pPr>
              <w:widowControl/>
              <w:wordWrap w:val="0"/>
              <w:spacing w:line="383" w:lineRule="atLeast"/>
              <w:jc w:val="center"/>
              <w:rPr>
                <w:rFonts w:ascii="仿宋" w:hAnsi="仿宋" w:cs="宋体"/>
                <w:spacing w:val="8"/>
                <w:kern w:val="0"/>
                <w:sz w:val="24"/>
                <w:szCs w:val="24"/>
                <w14:ligatures w14:val="none"/>
              </w:rPr>
            </w:pPr>
            <w:r>
              <w:rPr>
                <w:rFonts w:ascii="仿宋" w:hAnsi="仿宋" w:cs="宋体"/>
                <w:color w:val="060607"/>
                <w:spacing w:val="8"/>
                <w:kern w:val="0"/>
                <w:sz w:val="24"/>
                <w:szCs w:val="24"/>
                <w14:ligatures w14:val="none"/>
              </w:rPr>
              <w:t>亚洲军事演习的社交</w:t>
            </w:r>
            <w:r>
              <w:rPr>
                <w:rFonts w:hint="eastAsia" w:ascii="仿宋" w:hAnsi="仿宋" w:cs="宋体"/>
                <w:spacing w:val="8"/>
                <w:kern w:val="0"/>
                <w:sz w:val="24"/>
                <w:szCs w:val="24"/>
                <w14:ligatures w14:val="none"/>
              </w:rPr>
              <w:t>媒体评价分析与区域安全态势研究</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595E01C8">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采集2023-2024年亚洲军事演习相关数据，分析评估军事演习对区域安全态势的影响，探索社交媒体在塑造公众对军事和安全议题认知中的作用。</w:t>
            </w:r>
          </w:p>
        </w:tc>
      </w:tr>
      <w:tr w14:paraId="02EEB0C4">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28DB44FA">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14</w:t>
            </w:r>
          </w:p>
        </w:tc>
        <w:tc>
          <w:tcPr>
            <w:tcW w:w="0" w:type="auto"/>
            <w:vMerge w:val="continue"/>
            <w:tcBorders>
              <w:top w:val="nil"/>
              <w:left w:val="nil"/>
              <w:bottom w:val="single" w:color="auto" w:sz="8" w:space="0"/>
              <w:right w:val="single" w:color="auto" w:sz="8" w:space="0"/>
            </w:tcBorders>
            <w:shd w:val="clear" w:color="auto" w:fill="FFFFFF"/>
            <w:vAlign w:val="center"/>
          </w:tcPr>
          <w:p w14:paraId="7EF200E9">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519DF89">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全球南方国家的多边主义合作分析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CA14C08">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采集金砖国家、非洲联盟等组织以及社交媒体相关的数据，分析全球南方国家在多边主义合作中的作用和贡献，提出建设性的策略和建议以促进全球南方国家通过多边合作应对全球性挑战。</w:t>
            </w:r>
          </w:p>
        </w:tc>
      </w:tr>
      <w:tr w14:paraId="177D13FE">
        <w:tblPrEx>
          <w:tblCellMar>
            <w:top w:w="0" w:type="dxa"/>
            <w:left w:w="0" w:type="dxa"/>
            <w:bottom w:w="0" w:type="dxa"/>
            <w:right w:w="0" w:type="dxa"/>
          </w:tblCellMar>
        </w:tblPrEx>
        <w:tc>
          <w:tcPr>
            <w:tcW w:w="0" w:type="auto"/>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1A000B60">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color w:val="000000"/>
                <w:spacing w:val="8"/>
                <w:kern w:val="0"/>
                <w:sz w:val="24"/>
                <w:szCs w:val="24"/>
                <w14:ligatures w14:val="none"/>
              </w:rPr>
              <w:t>15</w:t>
            </w:r>
          </w:p>
        </w:tc>
        <w:tc>
          <w:tcPr>
            <w:tcW w:w="0" w:type="auto"/>
            <w:vMerge w:val="continue"/>
            <w:tcBorders>
              <w:top w:val="nil"/>
              <w:left w:val="nil"/>
              <w:bottom w:val="single" w:color="auto" w:sz="8" w:space="0"/>
              <w:right w:val="single" w:color="auto" w:sz="8" w:space="0"/>
            </w:tcBorders>
            <w:shd w:val="clear" w:color="auto" w:fill="FFFFFF"/>
            <w:vAlign w:val="center"/>
          </w:tcPr>
          <w:p w14:paraId="0EC10FE3">
            <w:pPr>
              <w:widowControl/>
              <w:spacing w:line="240" w:lineRule="auto"/>
              <w:rPr>
                <w:rFonts w:ascii="仿宋" w:hAnsi="仿宋" w:cs="宋体"/>
                <w:spacing w:val="8"/>
                <w:kern w:val="0"/>
                <w:sz w:val="24"/>
                <w:szCs w:val="24"/>
                <w14:ligatures w14:val="none"/>
              </w:rPr>
            </w:pPr>
          </w:p>
        </w:tc>
        <w:tc>
          <w:tcPr>
            <w:tcW w:w="0" w:type="auto"/>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F8B2FD0">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全球范围内极端天气和自然灾害带来的全球气候危机分析</w:t>
            </w:r>
          </w:p>
        </w:tc>
        <w:tc>
          <w:tcPr>
            <w:tcW w:w="5871"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9B608D1">
            <w:pPr>
              <w:widowControl/>
              <w:wordWrap w:val="0"/>
              <w:spacing w:line="383" w:lineRule="atLeast"/>
              <w:jc w:val="center"/>
              <w:rPr>
                <w:rFonts w:ascii="仿宋" w:hAnsi="仿宋" w:cs="宋体"/>
                <w:spacing w:val="8"/>
                <w:kern w:val="0"/>
                <w:sz w:val="24"/>
                <w:szCs w:val="24"/>
                <w14:ligatures w14:val="none"/>
              </w:rPr>
            </w:pPr>
            <w:r>
              <w:rPr>
                <w:rFonts w:hint="eastAsia" w:ascii="仿宋" w:hAnsi="仿宋" w:cs="宋体"/>
                <w:spacing w:val="8"/>
                <w:kern w:val="0"/>
                <w:sz w:val="24"/>
                <w:szCs w:val="24"/>
                <w14:ligatures w14:val="none"/>
              </w:rPr>
              <w:t>采集</w:t>
            </w:r>
            <w:r>
              <w:rPr>
                <w:rFonts w:ascii="仿宋" w:hAnsi="仿宋" w:cs="宋体"/>
                <w:color w:val="060607"/>
                <w:spacing w:val="8"/>
                <w:kern w:val="0"/>
                <w:sz w:val="24"/>
                <w:szCs w:val="24"/>
                <w14:ligatures w14:val="none"/>
              </w:rPr>
              <w:t>全球范围内关于自然灾害（如极端天气、洪灾、旱灾、地震等）</w:t>
            </w:r>
            <w:r>
              <w:rPr>
                <w:rFonts w:hint="eastAsia" w:ascii="仿宋" w:hAnsi="仿宋" w:cs="宋体"/>
                <w:color w:val="060607"/>
                <w:spacing w:val="8"/>
                <w:kern w:val="0"/>
                <w:sz w:val="24"/>
                <w:szCs w:val="24"/>
                <w14:ligatures w14:val="none"/>
              </w:rPr>
              <w:t>以及受灾</w:t>
            </w:r>
            <w:r>
              <w:rPr>
                <w:rFonts w:ascii="仿宋" w:hAnsi="仿宋" w:cs="宋体"/>
                <w:color w:val="060607"/>
                <w:spacing w:val="8"/>
                <w:kern w:val="0"/>
                <w:sz w:val="24"/>
                <w:szCs w:val="24"/>
                <w14:ligatures w14:val="none"/>
              </w:rPr>
              <w:t>数据。</w:t>
            </w:r>
            <w:r>
              <w:rPr>
                <w:rFonts w:hint="eastAsia" w:ascii="仿宋" w:hAnsi="仿宋" w:cs="宋体"/>
                <w:color w:val="060607"/>
                <w:spacing w:val="8"/>
                <w:kern w:val="0"/>
                <w:sz w:val="24"/>
                <w:szCs w:val="24"/>
                <w14:ligatures w14:val="none"/>
              </w:rPr>
              <w:t>对</w:t>
            </w:r>
            <w:r>
              <w:rPr>
                <w:rFonts w:ascii="仿宋" w:hAnsi="仿宋" w:cs="宋体"/>
                <w:color w:val="060607"/>
                <w:spacing w:val="8"/>
                <w:kern w:val="0"/>
                <w:sz w:val="24"/>
                <w:szCs w:val="24"/>
                <w14:ligatures w14:val="none"/>
              </w:rPr>
              <w:t>灾害发生频率、影响范围、受灾人口、经济损失、难民流动趋势等</w:t>
            </w:r>
            <w:r>
              <w:rPr>
                <w:rFonts w:hint="eastAsia" w:ascii="仿宋" w:hAnsi="仿宋" w:cs="宋体"/>
                <w:color w:val="060607"/>
                <w:spacing w:val="8"/>
                <w:kern w:val="0"/>
                <w:sz w:val="24"/>
                <w:szCs w:val="24"/>
                <w14:ligatures w14:val="none"/>
              </w:rPr>
              <w:t>进行分析</w:t>
            </w:r>
            <w:r>
              <w:rPr>
                <w:rFonts w:hint="eastAsia" w:ascii="仿宋" w:hAnsi="仿宋" w:cs="宋体"/>
                <w:spacing w:val="8"/>
                <w:kern w:val="0"/>
                <w:sz w:val="24"/>
                <w:szCs w:val="24"/>
                <w14:ligatures w14:val="none"/>
              </w:rPr>
              <w:t>，</w:t>
            </w:r>
            <w:r>
              <w:rPr>
                <w:rFonts w:ascii="仿宋" w:hAnsi="仿宋" w:cs="宋体"/>
                <w:color w:val="060607"/>
                <w:spacing w:val="8"/>
                <w:kern w:val="0"/>
                <w:sz w:val="24"/>
                <w:szCs w:val="24"/>
                <w14:ligatures w14:val="none"/>
              </w:rPr>
              <w:t>提出针对自然灾害的预防、减灾、应急响应和长期解决方案</w:t>
            </w:r>
            <w:r>
              <w:rPr>
                <w:rFonts w:hint="eastAsia" w:ascii="仿宋" w:hAnsi="仿宋" w:cs="宋体"/>
                <w:color w:val="060607"/>
                <w:spacing w:val="8"/>
                <w:kern w:val="0"/>
                <w:sz w:val="24"/>
                <w:szCs w:val="24"/>
                <w14:ligatures w14:val="none"/>
              </w:rPr>
              <w:t>，并</w:t>
            </w:r>
            <w:r>
              <w:rPr>
                <w:rFonts w:ascii="仿宋" w:hAnsi="仿宋" w:cs="宋体"/>
                <w:color w:val="060607"/>
                <w:spacing w:val="8"/>
                <w:kern w:val="0"/>
                <w:sz w:val="24"/>
                <w:szCs w:val="24"/>
                <w14:ligatures w14:val="none"/>
              </w:rPr>
              <w:t>结合国际合作、地区发展、社会治理等方面，提出政策建议，以提高社会对自然灾害的抵御能力</w:t>
            </w:r>
            <w:r>
              <w:rPr>
                <w:rFonts w:hint="eastAsia" w:ascii="仿宋" w:hAnsi="仿宋" w:cs="宋体"/>
                <w:color w:val="060607"/>
                <w:spacing w:val="8"/>
                <w:kern w:val="0"/>
                <w:sz w:val="24"/>
                <w:szCs w:val="24"/>
                <w14:ligatures w14:val="none"/>
              </w:rPr>
              <w:t>。</w:t>
            </w:r>
          </w:p>
        </w:tc>
      </w:tr>
    </w:tbl>
    <w:p w14:paraId="7C82DB63">
      <w:pPr>
        <w:pStyle w:val="4"/>
        <w:bidi w:val="0"/>
        <w:rPr>
          <w:rFonts w:hint="eastAsia"/>
          <w:lang w:val="en-US" w:eastAsia="zh-CN"/>
        </w:rPr>
      </w:pPr>
      <w:r>
        <w:rPr>
          <w:rFonts w:hint="eastAsia"/>
          <w:lang w:val="en-US" w:eastAsia="zh-CN"/>
        </w:rPr>
        <w:t>比赛方案：</w:t>
      </w:r>
    </w:p>
    <w:p w14:paraId="1704EFA9">
      <w:pPr>
        <w:keepNext w:val="0"/>
        <w:keepLines w:val="0"/>
        <w:widowControl/>
        <w:suppressLineNumbers w:val="0"/>
        <w:ind w:firstLine="420" w:firstLineChars="0"/>
        <w:jc w:val="left"/>
        <w:rPr>
          <w:rFonts w:hint="default"/>
          <w:lang w:val="en-US" w:eastAsia="zh-CN"/>
        </w:rPr>
      </w:pPr>
      <w:r>
        <w:rPr>
          <w:rFonts w:hint="default"/>
          <w:lang w:val="en-US" w:eastAsia="zh-CN"/>
        </w:rPr>
        <w:t>基于选题《2024年国际竞争新形势分析》，我们在团队内进行了充分讨论，并初步将工作划分为数据采集和数据分析两个部分。</w:t>
      </w:r>
    </w:p>
    <w:p w14:paraId="66C3625D">
      <w:pPr>
        <w:keepNext w:val="0"/>
        <w:keepLines w:val="0"/>
        <w:widowControl/>
        <w:suppressLineNumbers w:val="0"/>
        <w:ind w:firstLine="420" w:firstLineChars="0"/>
        <w:jc w:val="left"/>
        <w:rPr>
          <w:rFonts w:hint="default"/>
          <w:lang w:val="en-US" w:eastAsia="zh-CN"/>
        </w:rPr>
      </w:pPr>
      <w:r>
        <w:drawing>
          <wp:inline distT="0" distB="0" distL="114300" distR="114300">
            <wp:extent cx="5268595" cy="3892550"/>
            <wp:effectExtent l="0" t="0" r="444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892550"/>
                    </a:xfrm>
                    <a:prstGeom prst="rect">
                      <a:avLst/>
                    </a:prstGeom>
                    <a:noFill/>
                    <a:ln>
                      <a:noFill/>
                    </a:ln>
                  </pic:spPr>
                </pic:pic>
              </a:graphicData>
            </a:graphic>
          </wp:inline>
        </w:drawing>
      </w:r>
    </w:p>
    <w:p w14:paraId="6FB9B808">
      <w:pPr>
        <w:keepNext w:val="0"/>
        <w:keepLines w:val="0"/>
        <w:widowControl/>
        <w:suppressLineNumbers w:val="0"/>
        <w:ind w:firstLine="420" w:firstLineChars="0"/>
        <w:jc w:val="left"/>
        <w:rPr>
          <w:rFonts w:hint="default"/>
          <w:lang w:val="en-US" w:eastAsia="zh-CN"/>
        </w:rPr>
      </w:pPr>
      <w:r>
        <w:rPr>
          <w:rFonts w:hint="default"/>
          <w:lang w:val="en-US" w:eastAsia="zh-CN"/>
        </w:rPr>
        <w:t>围绕这些工作内容，我们制定了如上图所示的四个步骤流程：采集数据、数据预处理、数据分析，以及结果与影响分析。</w:t>
      </w:r>
    </w:p>
    <w:p w14:paraId="4A9E161E">
      <w:pPr>
        <w:keepNext w:val="0"/>
        <w:keepLines w:val="0"/>
        <w:widowControl/>
        <w:suppressLineNumbers w:val="0"/>
        <w:ind w:firstLine="420" w:firstLineChars="0"/>
        <w:jc w:val="left"/>
        <w:rPr>
          <w:rFonts w:hint="default"/>
          <w:lang w:val="en-US" w:eastAsia="zh-CN"/>
        </w:rPr>
      </w:pPr>
      <w:r>
        <w:rPr>
          <w:rFonts w:hint="default"/>
          <w:lang w:val="en-US" w:eastAsia="zh-CN"/>
        </w:rPr>
        <w:t>具体来说，我们分配了两位同学负责采集数据和数据预处理，另外一位同学负责查找相关文献资料并构思数据分析的方式。我们约定了一个具体的时间</w:t>
      </w:r>
      <w:r>
        <w:rPr>
          <w:rFonts w:hint="eastAsia"/>
          <w:lang w:val="en-US" w:eastAsia="zh-CN"/>
        </w:rPr>
        <w:t>来规定完成这两个任务的期限。</w:t>
      </w:r>
    </w:p>
    <w:p w14:paraId="569F3BF5">
      <w:pPr>
        <w:keepNext w:val="0"/>
        <w:keepLines w:val="0"/>
        <w:widowControl/>
        <w:suppressLineNumbers w:val="0"/>
        <w:ind w:firstLine="420" w:firstLineChars="0"/>
        <w:jc w:val="left"/>
        <w:rPr>
          <w:rFonts w:hint="default"/>
          <w:lang w:val="en-US" w:eastAsia="zh-CN"/>
        </w:rPr>
      </w:pPr>
      <w:r>
        <w:rPr>
          <w:rFonts w:hint="default"/>
          <w:lang w:val="en-US" w:eastAsia="zh-CN"/>
        </w:rPr>
        <w:t>在第二次碰面时，团队提出了新的思路。负责数据采集的同学介绍，他们已收集到部分官方新闻数据和社交媒体微博数据，这些数据大多是静态的。然而，如果时间允许，我们完全可以采集动态数据，比如每小时跟踪某条新闻的转发量、评论数和点赞数，通过动态数据的拟合，能够更深入地挖掘信息。</w:t>
      </w:r>
    </w:p>
    <w:p w14:paraId="5829A2A7">
      <w:pPr>
        <w:keepNext w:val="0"/>
        <w:keepLines w:val="0"/>
        <w:widowControl/>
        <w:suppressLineNumbers w:val="0"/>
        <w:ind w:firstLine="420" w:firstLineChars="0"/>
        <w:jc w:val="left"/>
        <w:rPr>
          <w:rFonts w:hint="default"/>
          <w:lang w:val="en-US" w:eastAsia="zh-CN"/>
        </w:rPr>
      </w:pPr>
      <w:r>
        <w:rPr>
          <w:rFonts w:hint="default"/>
          <w:lang w:val="en-US" w:eastAsia="zh-CN"/>
        </w:rPr>
        <w:t>负责数据分析的同学指出，纯人工的数据分析不仅费时费力，且难以准确把握不同时间节点的数据变化趋势。借助大模型的能力，利用其处理和分析数据的优势无疑是一个替代方案。于是，我们设计出一个可以自动检测国际竞争新形势的平台。</w:t>
      </w:r>
    </w:p>
    <w:p w14:paraId="1A84533D">
      <w:pPr>
        <w:keepNext w:val="0"/>
        <w:keepLines w:val="0"/>
        <w:widowControl/>
        <w:suppressLineNumbers w:val="0"/>
        <w:ind w:firstLine="420" w:firstLineChars="0"/>
        <w:jc w:val="left"/>
        <w:rPr>
          <w:rFonts w:hint="default"/>
          <w:lang w:val="en-US" w:eastAsia="zh-CN"/>
        </w:rPr>
      </w:pPr>
      <w:r>
        <w:rPr>
          <w:rFonts w:hint="default"/>
          <w:lang w:val="en-US" w:eastAsia="zh-CN"/>
        </w:rPr>
        <w:t>在这个平台上，首先，我们编写了自动化爬虫程序，每天定时抓取相关数据，并将数据更新到数据库中。接着，我们调用大模型，对数据库中的内容生成分析报告，并根据报告为主要竞争国家在各领域的竞争力评分，实现动态监测的功能。考虑到比赛要求提交一份静态分析报告，我们基于一段时间的数据生成了静态报告，最终获得了不错的成绩，这也在一定程度上验证了自动化框架的有效性。</w:t>
      </w:r>
    </w:p>
    <w:p w14:paraId="45E297D7">
      <w:pPr>
        <w:keepNext w:val="0"/>
        <w:keepLines w:val="0"/>
        <w:widowControl/>
        <w:suppressLineNumbers w:val="0"/>
        <w:ind w:firstLine="420" w:firstLineChars="0"/>
        <w:jc w:val="left"/>
        <w:rPr>
          <w:rFonts w:hint="default"/>
          <w:lang w:val="en-US" w:eastAsia="zh-CN"/>
        </w:rPr>
      </w:pPr>
      <w:r>
        <w:rPr>
          <w:rFonts w:hint="default"/>
          <w:lang w:val="en-US" w:eastAsia="zh-CN"/>
        </w:rPr>
        <w:t>通过以上流程的设计和实现，我们不仅为团队任务提供了系统的支持，还为后续动态监测国际竞争形势的新形势奠定了基础。</w:t>
      </w:r>
    </w:p>
    <w:p w14:paraId="1B695639">
      <w:pPr>
        <w:pStyle w:val="3"/>
        <w:bidi w:val="0"/>
        <w:rPr>
          <w:rFonts w:hint="default"/>
          <w:lang w:val="en-US" w:eastAsia="zh-CN"/>
        </w:rPr>
      </w:pPr>
      <w:r>
        <w:rPr>
          <w:rFonts w:hint="eastAsia"/>
          <w:lang w:val="en-US" w:eastAsia="zh-CN"/>
        </w:rPr>
        <w:t>决赛</w:t>
      </w:r>
    </w:p>
    <w:tbl>
      <w:tblPr>
        <w:tblStyle w:val="8"/>
        <w:tblpPr w:leftFromText="45" w:rightFromText="45" w:bottomFromText="150" w:vertAnchor="text" w:horzAnchor="margin" w:tblpXSpec="center" w:tblpY="1402"/>
        <w:tblW w:w="8943" w:type="dxa"/>
        <w:tblInd w:w="828" w:type="dxa"/>
        <w:shd w:val="clear" w:color="auto" w:fill="FFFFFF"/>
        <w:tblLayout w:type="autofit"/>
        <w:tblCellMar>
          <w:top w:w="0" w:type="dxa"/>
          <w:left w:w="0" w:type="dxa"/>
          <w:bottom w:w="0" w:type="dxa"/>
          <w:right w:w="0" w:type="dxa"/>
        </w:tblCellMar>
      </w:tblPr>
      <w:tblGrid>
        <w:gridCol w:w="1391"/>
        <w:gridCol w:w="1580"/>
        <w:gridCol w:w="5972"/>
      </w:tblGrid>
      <w:tr w14:paraId="7528DCAF">
        <w:tblPrEx>
          <w:tblCellMar>
            <w:top w:w="0" w:type="dxa"/>
            <w:left w:w="0" w:type="dxa"/>
            <w:bottom w:w="0" w:type="dxa"/>
            <w:right w:w="0" w:type="dxa"/>
          </w:tblCellMar>
        </w:tblPrEx>
        <w:trPr>
          <w:trHeight w:val="200" w:hRule="atLeast"/>
          <w:tblHeader/>
        </w:trPr>
        <w:tc>
          <w:tcPr>
            <w:tcW w:w="1391" w:type="dxa"/>
            <w:tcBorders>
              <w:top w:val="single" w:color="auto" w:sz="8" w:space="0"/>
              <w:left w:val="single" w:color="auto" w:sz="8" w:space="0"/>
              <w:bottom w:val="single" w:color="auto" w:sz="8" w:space="0"/>
              <w:right w:val="single" w:color="auto" w:sz="8" w:space="0"/>
            </w:tcBorders>
            <w:shd w:val="clear" w:color="auto" w:fill="D8D8D8"/>
            <w:tcMar>
              <w:top w:w="0" w:type="dxa"/>
              <w:left w:w="108" w:type="dxa"/>
              <w:bottom w:w="0" w:type="dxa"/>
              <w:right w:w="108" w:type="dxa"/>
            </w:tcMar>
            <w:vAlign w:val="center"/>
          </w:tcPr>
          <w:p w14:paraId="4612E8F4">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color w:val="000000"/>
                <w:spacing w:val="8"/>
                <w:kern w:val="0"/>
                <w:sz w:val="21"/>
                <w:szCs w:val="21"/>
                <w14:ligatures w14:val="none"/>
              </w:rPr>
              <w:t>评分内容</w:t>
            </w:r>
          </w:p>
        </w:tc>
        <w:tc>
          <w:tcPr>
            <w:tcW w:w="1580" w:type="dxa"/>
            <w:tcBorders>
              <w:top w:val="single" w:color="auto" w:sz="8" w:space="0"/>
              <w:left w:val="nil"/>
              <w:bottom w:val="single" w:color="auto" w:sz="8" w:space="0"/>
              <w:right w:val="single" w:color="auto" w:sz="8" w:space="0"/>
            </w:tcBorders>
            <w:shd w:val="clear" w:color="auto" w:fill="D8D8D8"/>
            <w:tcMar>
              <w:top w:w="0" w:type="dxa"/>
              <w:left w:w="108" w:type="dxa"/>
              <w:bottom w:w="0" w:type="dxa"/>
              <w:right w:w="108" w:type="dxa"/>
            </w:tcMar>
            <w:vAlign w:val="center"/>
          </w:tcPr>
          <w:p w14:paraId="5E7FB7CC">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color w:val="000000"/>
                <w:spacing w:val="8"/>
                <w:kern w:val="0"/>
                <w:sz w:val="21"/>
                <w:szCs w:val="21"/>
                <w14:ligatures w14:val="none"/>
              </w:rPr>
              <w:t>评分项目</w:t>
            </w:r>
          </w:p>
        </w:tc>
        <w:tc>
          <w:tcPr>
            <w:tcW w:w="5972" w:type="dxa"/>
            <w:tcBorders>
              <w:top w:val="single" w:color="auto" w:sz="8" w:space="0"/>
              <w:left w:val="nil"/>
              <w:bottom w:val="single" w:color="auto" w:sz="8" w:space="0"/>
              <w:right w:val="single" w:color="auto" w:sz="8" w:space="0"/>
            </w:tcBorders>
            <w:shd w:val="clear" w:color="auto" w:fill="D8D8D8"/>
            <w:tcMar>
              <w:top w:w="0" w:type="dxa"/>
              <w:left w:w="108" w:type="dxa"/>
              <w:bottom w:w="0" w:type="dxa"/>
              <w:right w:w="108" w:type="dxa"/>
            </w:tcMar>
            <w:vAlign w:val="center"/>
          </w:tcPr>
          <w:p w14:paraId="64BB012C">
            <w:pPr>
              <w:widowControl/>
              <w:wordWrap w:val="0"/>
              <w:spacing w:line="240" w:lineRule="auto"/>
              <w:ind w:firstLine="428"/>
              <w:jc w:val="center"/>
              <w:rPr>
                <w:rFonts w:ascii="宋体" w:hAnsi="宋体" w:eastAsia="宋体" w:cs="宋体"/>
                <w:spacing w:val="8"/>
                <w:kern w:val="0"/>
                <w:sz w:val="21"/>
                <w:szCs w:val="21"/>
                <w14:ligatures w14:val="none"/>
              </w:rPr>
            </w:pPr>
            <w:r>
              <w:rPr>
                <w:rFonts w:hint="eastAsia" w:ascii="宋体" w:hAnsi="宋体" w:eastAsia="宋体" w:cs="宋体"/>
                <w:b/>
                <w:bCs/>
                <w:color w:val="000000"/>
                <w:spacing w:val="8"/>
                <w:kern w:val="0"/>
                <w:sz w:val="21"/>
                <w:szCs w:val="21"/>
                <w14:ligatures w14:val="none"/>
              </w:rPr>
              <w:t>评分要点</w:t>
            </w:r>
          </w:p>
        </w:tc>
      </w:tr>
      <w:tr w14:paraId="47A30C3D">
        <w:tblPrEx>
          <w:tblCellMar>
            <w:top w:w="0" w:type="dxa"/>
            <w:left w:w="0" w:type="dxa"/>
            <w:bottom w:w="0" w:type="dxa"/>
            <w:right w:w="0" w:type="dxa"/>
          </w:tblCellMar>
        </w:tblPrEx>
        <w:trPr>
          <w:trHeight w:val="19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3BA70E66">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内容质量与相关性</w:t>
            </w:r>
          </w:p>
          <w:p w14:paraId="12E03D64">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（15分）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F9FF31B">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紧扣主题</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63E1B1D">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汇报内容是否紧密围绕比赛要求的主题，明确阐述分析目标。</w:t>
            </w:r>
          </w:p>
        </w:tc>
      </w:tr>
      <w:tr w14:paraId="4F100A94">
        <w:tblPrEx>
          <w:tblCellMar>
            <w:top w:w="0" w:type="dxa"/>
            <w:left w:w="0" w:type="dxa"/>
            <w:bottom w:w="0" w:type="dxa"/>
            <w:right w:w="0" w:type="dxa"/>
          </w:tblCellMar>
        </w:tblPrEx>
        <w:trPr>
          <w:trHeight w:val="19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55195ECB">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9567B65">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数据准确性</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5C8AFE1">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所使用的数据是否准确无误，分析方法是否科学合理。</w:t>
            </w:r>
          </w:p>
        </w:tc>
      </w:tr>
      <w:tr w14:paraId="6BB5CA7B">
        <w:tblPrEx>
          <w:tblCellMar>
            <w:top w:w="0" w:type="dxa"/>
            <w:left w:w="0" w:type="dxa"/>
            <w:bottom w:w="0" w:type="dxa"/>
            <w:right w:w="0" w:type="dxa"/>
          </w:tblCellMar>
        </w:tblPrEx>
        <w:trPr>
          <w:trHeight w:val="19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3572A051">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97D0105">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相关度与深度</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B9CDC22">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分析是否深入，是否有独到见解或创新的方法应用。</w:t>
            </w:r>
          </w:p>
        </w:tc>
      </w:tr>
      <w:tr w14:paraId="51DD938C">
        <w:tblPrEx>
          <w:tblCellMar>
            <w:top w:w="0" w:type="dxa"/>
            <w:left w:w="0" w:type="dxa"/>
            <w:bottom w:w="0" w:type="dxa"/>
            <w:right w:w="0" w:type="dxa"/>
          </w:tblCellMar>
        </w:tblPrEx>
        <w:trPr>
          <w:trHeight w:val="18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3825D17C">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DE2652E">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结论与建议</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150551A">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提出的结论是否基于数据分析得出，建议是否具有实践价值和可操作性。</w:t>
            </w:r>
          </w:p>
        </w:tc>
      </w:tr>
      <w:tr w14:paraId="4FF48691">
        <w:tblPrEx>
          <w:tblCellMar>
            <w:top w:w="0" w:type="dxa"/>
            <w:left w:w="0" w:type="dxa"/>
            <w:bottom w:w="0" w:type="dxa"/>
            <w:right w:w="0" w:type="dxa"/>
          </w:tblCellMar>
        </w:tblPrEx>
        <w:trPr>
          <w:trHeight w:val="16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3C72382D">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PPT可视化效果与呈现</w:t>
            </w:r>
          </w:p>
          <w:p w14:paraId="04E1F9C8">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（15分）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C38228E">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逻辑结构</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0928491">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PPT布局是否清晰，逻辑条理是否顺畅。</w:t>
            </w:r>
          </w:p>
        </w:tc>
      </w:tr>
      <w:tr w14:paraId="5011DEBD">
        <w:tblPrEx>
          <w:tblCellMar>
            <w:top w:w="0" w:type="dxa"/>
            <w:left w:w="0" w:type="dxa"/>
            <w:bottom w:w="0" w:type="dxa"/>
            <w:right w:w="0" w:type="dxa"/>
          </w:tblCellMar>
        </w:tblPrEx>
        <w:trPr>
          <w:trHeight w:val="16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72DB44FC">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0F26F5B">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视觉效果</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FA6E0FB">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图表、图形的选择与设计是否有助于信息传达，整体视觉是否专业吸引。</w:t>
            </w:r>
          </w:p>
        </w:tc>
      </w:tr>
      <w:tr w14:paraId="4ADEEB9A">
        <w:tblPrEx>
          <w:tblCellMar>
            <w:top w:w="0" w:type="dxa"/>
            <w:left w:w="0" w:type="dxa"/>
            <w:bottom w:w="0" w:type="dxa"/>
            <w:right w:w="0" w:type="dxa"/>
          </w:tblCellMar>
        </w:tblPrEx>
        <w:trPr>
          <w:trHeight w:val="15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589AE588">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9646953">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专业性和创造性</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C29639B">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PPT的设计是否专业，是否展现了创意。</w:t>
            </w:r>
          </w:p>
        </w:tc>
      </w:tr>
      <w:tr w14:paraId="23B40772">
        <w:tblPrEx>
          <w:tblCellMar>
            <w:top w:w="0" w:type="dxa"/>
            <w:left w:w="0" w:type="dxa"/>
            <w:bottom w:w="0" w:type="dxa"/>
            <w:right w:w="0" w:type="dxa"/>
          </w:tblCellMar>
        </w:tblPrEx>
        <w:trPr>
          <w:trHeight w:val="16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650158EC">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演讲表达</w:t>
            </w:r>
          </w:p>
          <w:p w14:paraId="7FBD37BD">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（10分）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9103DFB">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表达能力</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F268474">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演讲者是否能够清晰、准确地传达信息。</w:t>
            </w:r>
          </w:p>
        </w:tc>
      </w:tr>
      <w:tr w14:paraId="48B654FD">
        <w:tblPrEx>
          <w:tblCellMar>
            <w:top w:w="0" w:type="dxa"/>
            <w:left w:w="0" w:type="dxa"/>
            <w:bottom w:w="0" w:type="dxa"/>
            <w:right w:w="0" w:type="dxa"/>
          </w:tblCellMar>
        </w:tblPrEx>
        <w:trPr>
          <w:trHeight w:val="16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4C8E67D2">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0E31C11A">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自信和仪态</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5C9C5CF">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演讲者是否展现出自信，是否有良好的肢体语言和眼神交流。</w:t>
            </w:r>
          </w:p>
        </w:tc>
      </w:tr>
      <w:tr w14:paraId="01CA18A9">
        <w:tblPrEx>
          <w:tblCellMar>
            <w:top w:w="0" w:type="dxa"/>
            <w:left w:w="0" w:type="dxa"/>
            <w:bottom w:w="0" w:type="dxa"/>
            <w:right w:w="0" w:type="dxa"/>
          </w:tblCellMar>
        </w:tblPrEx>
        <w:trPr>
          <w:trHeight w:val="14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15E74FFF">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5F49432">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时间管理</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2E62298">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是否在规定的时间内完成了演讲。</w:t>
            </w:r>
          </w:p>
        </w:tc>
      </w:tr>
      <w:tr w14:paraId="4E664D1B">
        <w:tblPrEx>
          <w:tblCellMar>
            <w:top w:w="0" w:type="dxa"/>
            <w:left w:w="0" w:type="dxa"/>
            <w:bottom w:w="0" w:type="dxa"/>
            <w:right w:w="0" w:type="dxa"/>
          </w:tblCellMar>
        </w:tblPrEx>
        <w:trPr>
          <w:trHeight w:val="14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4120AD30">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创新能力</w:t>
            </w:r>
          </w:p>
          <w:p w14:paraId="1DA0E136">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（10分）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3FEC85C5">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创新性</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FD4B666">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汇报或分析是否包含独到的见解和创新的方法。</w:t>
            </w:r>
          </w:p>
        </w:tc>
      </w:tr>
      <w:tr w14:paraId="0C0D2E49">
        <w:tblPrEx>
          <w:tblCellMar>
            <w:top w:w="0" w:type="dxa"/>
            <w:left w:w="0" w:type="dxa"/>
            <w:bottom w:w="0" w:type="dxa"/>
            <w:right w:w="0" w:type="dxa"/>
          </w:tblCellMar>
        </w:tblPrEx>
        <w:trPr>
          <w:trHeight w:val="14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45A8EDEF">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CBCBD97">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结论应用价值</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6FC24CE7">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分析结果是否具有实际应用价值和解决问题的潜力。</w:t>
            </w:r>
          </w:p>
        </w:tc>
      </w:tr>
      <w:tr w14:paraId="73E1F3B9">
        <w:tblPrEx>
          <w:tblCellMar>
            <w:top w:w="0" w:type="dxa"/>
            <w:left w:w="0" w:type="dxa"/>
            <w:bottom w:w="0" w:type="dxa"/>
            <w:right w:w="0" w:type="dxa"/>
          </w:tblCellMar>
        </w:tblPrEx>
        <w:trPr>
          <w:trHeight w:val="20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70B55D70">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综合素质与团队协作</w:t>
            </w:r>
          </w:p>
          <w:p w14:paraId="78CE975B">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（10分）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28918010">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团队协作</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70EA9EFB">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团队成员之间是否有明确的分工，是否能够协作无间。</w:t>
            </w:r>
          </w:p>
        </w:tc>
      </w:tr>
      <w:tr w14:paraId="1CA51DB3">
        <w:tblPrEx>
          <w:tblCellMar>
            <w:top w:w="0" w:type="dxa"/>
            <w:left w:w="0" w:type="dxa"/>
            <w:bottom w:w="0" w:type="dxa"/>
            <w:right w:w="0" w:type="dxa"/>
          </w:tblCellMar>
        </w:tblPrEx>
        <w:trPr>
          <w:trHeight w:val="19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3E4FF9D1">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D2F9946">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临场应变</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617DDCF">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面对意外情况时的处理能力，如技术故障、突发提问等。</w:t>
            </w:r>
          </w:p>
        </w:tc>
      </w:tr>
      <w:tr w14:paraId="65554D2C">
        <w:tblPrEx>
          <w:tblCellMar>
            <w:top w:w="0" w:type="dxa"/>
            <w:left w:w="0" w:type="dxa"/>
            <w:bottom w:w="0" w:type="dxa"/>
            <w:right w:w="0" w:type="dxa"/>
          </w:tblCellMar>
        </w:tblPrEx>
        <w:trPr>
          <w:trHeight w:val="190" w:hRule="atLeast"/>
        </w:trPr>
        <w:tc>
          <w:tcPr>
            <w:tcW w:w="1391" w:type="dxa"/>
            <w:vMerge w:val="restart"/>
            <w:tcBorders>
              <w:top w:val="nil"/>
              <w:left w:val="single" w:color="auto" w:sz="8" w:space="0"/>
              <w:bottom w:val="single" w:color="auto" w:sz="8" w:space="0"/>
              <w:right w:val="single" w:color="auto" w:sz="8" w:space="0"/>
            </w:tcBorders>
            <w:shd w:val="clear" w:color="auto" w:fill="FFFFFF"/>
            <w:tcMar>
              <w:top w:w="0" w:type="dxa"/>
              <w:left w:w="108" w:type="dxa"/>
              <w:bottom w:w="0" w:type="dxa"/>
              <w:right w:w="108" w:type="dxa"/>
            </w:tcMar>
            <w:vAlign w:val="center"/>
          </w:tcPr>
          <w:p w14:paraId="05712B28">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答辩能力</w:t>
            </w:r>
          </w:p>
          <w:p w14:paraId="619149D0">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b/>
                <w:bCs/>
                <w:spacing w:val="8"/>
                <w:kern w:val="0"/>
                <w:sz w:val="21"/>
                <w:szCs w:val="21"/>
                <w14:ligatures w14:val="none"/>
              </w:rPr>
              <w:t>（10分）</w:t>
            </w: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1DC997D1">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问题回答的准确性</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59D1EBF0">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对于评委的问题，回答是否准确、深入。</w:t>
            </w:r>
          </w:p>
        </w:tc>
      </w:tr>
      <w:tr w14:paraId="5FFA97F3">
        <w:tblPrEx>
          <w:tblCellMar>
            <w:top w:w="0" w:type="dxa"/>
            <w:left w:w="0" w:type="dxa"/>
            <w:bottom w:w="0" w:type="dxa"/>
            <w:right w:w="0" w:type="dxa"/>
          </w:tblCellMar>
        </w:tblPrEx>
        <w:trPr>
          <w:trHeight w:val="190" w:hRule="atLeast"/>
        </w:trPr>
        <w:tc>
          <w:tcPr>
            <w:tcW w:w="1391" w:type="dxa"/>
            <w:vMerge w:val="continue"/>
            <w:tcBorders>
              <w:top w:val="nil"/>
              <w:left w:val="single" w:color="auto" w:sz="8" w:space="0"/>
              <w:bottom w:val="single" w:color="auto" w:sz="8" w:space="0"/>
              <w:right w:val="single" w:color="auto" w:sz="8" w:space="0"/>
            </w:tcBorders>
            <w:shd w:val="clear" w:color="auto" w:fill="FFFFFF"/>
            <w:vAlign w:val="center"/>
          </w:tcPr>
          <w:p w14:paraId="147E7BE9">
            <w:pPr>
              <w:widowControl/>
              <w:spacing w:line="240" w:lineRule="auto"/>
              <w:rPr>
                <w:rFonts w:ascii="宋体" w:hAnsi="宋体" w:eastAsia="宋体" w:cs="宋体"/>
                <w:spacing w:val="8"/>
                <w:kern w:val="0"/>
                <w:sz w:val="21"/>
                <w:szCs w:val="21"/>
                <w14:ligatures w14:val="none"/>
              </w:rPr>
            </w:pPr>
          </w:p>
        </w:tc>
        <w:tc>
          <w:tcPr>
            <w:tcW w:w="158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536454D6">
            <w:pPr>
              <w:widowControl/>
              <w:wordWrap w:val="0"/>
              <w:spacing w:line="240" w:lineRule="auto"/>
              <w:jc w:val="center"/>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思维敏捷性</w:t>
            </w:r>
          </w:p>
        </w:tc>
        <w:tc>
          <w:tcPr>
            <w:tcW w:w="5972"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center"/>
          </w:tcPr>
          <w:p w14:paraId="4B17829D">
            <w:pPr>
              <w:widowControl/>
              <w:wordWrap w:val="0"/>
              <w:spacing w:line="240" w:lineRule="auto"/>
              <w:rPr>
                <w:rFonts w:ascii="宋体" w:hAnsi="宋体" w:eastAsia="宋体" w:cs="宋体"/>
                <w:spacing w:val="8"/>
                <w:kern w:val="0"/>
                <w:sz w:val="21"/>
                <w:szCs w:val="21"/>
                <w14:ligatures w14:val="none"/>
              </w:rPr>
            </w:pPr>
            <w:r>
              <w:rPr>
                <w:rFonts w:hint="eastAsia" w:ascii="宋体" w:hAnsi="宋体" w:eastAsia="宋体" w:cs="宋体"/>
                <w:spacing w:val="8"/>
                <w:kern w:val="0"/>
                <w:sz w:val="21"/>
                <w:szCs w:val="21"/>
                <w14:ligatures w14:val="none"/>
              </w:rPr>
              <w:t>是否能够迅速理解问题并作出回应。</w:t>
            </w:r>
          </w:p>
        </w:tc>
      </w:tr>
    </w:tbl>
    <w:p w14:paraId="11FD4EDE">
      <w:pPr>
        <w:pStyle w:val="4"/>
        <w:bidi w:val="0"/>
        <w:rPr>
          <w:rFonts w:hint="eastAsia"/>
          <w:lang w:val="en-US" w:eastAsia="zh-CN"/>
        </w:rPr>
      </w:pPr>
      <w:r>
        <w:rPr>
          <w:rFonts w:hint="eastAsia"/>
          <w:lang w:val="en-US" w:eastAsia="zh-CN"/>
        </w:rPr>
        <w:t>评分标准：</w:t>
      </w:r>
    </w:p>
    <w:p w14:paraId="08CAF9A7">
      <w:pPr>
        <w:rPr>
          <w:rFonts w:hint="default"/>
          <w:lang w:val="en-US" w:eastAsia="zh-CN"/>
        </w:rPr>
      </w:pPr>
    </w:p>
    <w:p w14:paraId="1ED0BC3B">
      <w:pPr>
        <w:pStyle w:val="4"/>
        <w:bidi w:val="0"/>
        <w:rPr>
          <w:rFonts w:hint="eastAsia"/>
          <w:lang w:val="en-US" w:eastAsia="zh-CN"/>
        </w:rPr>
      </w:pPr>
      <w:r>
        <w:rPr>
          <w:rFonts w:hint="eastAsia"/>
          <w:lang w:val="en-US" w:eastAsia="zh-CN"/>
        </w:rPr>
        <w:t>比赛方案：</w:t>
      </w:r>
    </w:p>
    <w:p w14:paraId="1E7AFC80">
      <w:pPr>
        <w:pStyle w:val="7"/>
        <w:keepNext w:val="0"/>
        <w:keepLines w:val="0"/>
        <w:widowControl/>
        <w:suppressLineNumbers w:val="0"/>
        <w:ind w:firstLine="420" w:firstLineChars="0"/>
      </w:pPr>
      <w:r>
        <w:t>在决赛中，我们的汇报内容主要是对初赛环节</w:t>
      </w:r>
      <w:r>
        <w:rPr>
          <w:rFonts w:hint="eastAsia"/>
          <w:lang w:val="en-US" w:eastAsia="zh-CN"/>
        </w:rPr>
        <w:t>3提交的报告</w:t>
      </w:r>
      <w:r>
        <w:t>进行</w:t>
      </w:r>
      <w:r>
        <w:rPr>
          <w:rFonts w:hint="eastAsia"/>
          <w:lang w:val="en-US" w:eastAsia="zh-CN"/>
        </w:rPr>
        <w:t>PPT</w:t>
      </w:r>
      <w:r>
        <w:t>精简汇总。考虑到每组只有五分钟的展示时间，我们将PPT页数控制在10页左右，力求简洁明了。在队内的多次演讲练习后，我们最终选定了一名声音洪亮、表达清晰的队员负责正式汇报。</w:t>
      </w:r>
    </w:p>
    <w:p w14:paraId="180FC458">
      <w:pPr>
        <w:pStyle w:val="7"/>
        <w:keepNext w:val="0"/>
        <w:keepLines w:val="0"/>
        <w:widowControl/>
        <w:suppressLineNumbers w:val="0"/>
      </w:pPr>
      <w:r>
        <w:t>在准备过程中，我们总结出一些心得。首先，评分标准中演讲表达的占比不低，因此表达流畅和逻辑清晰尤为重要。我们在排练时特别注意语言的流畅性和逻辑的衔接，以确保信息传达准确。同时，从评委的反馈中发现，技术层面的问题往往是提问的重点。因此，对自己所使用的技术需有深入理解，避免使用一些似是而非的“高端”术语，以免在提问时显得难以自圆其说。</w:t>
      </w:r>
    </w:p>
    <w:p w14:paraId="1B26839C">
      <w:pPr>
        <w:pStyle w:val="7"/>
        <w:keepNext w:val="0"/>
        <w:keepLines w:val="0"/>
        <w:widowControl/>
        <w:suppressLineNumbers w:val="0"/>
        <w:rPr>
          <w:rFonts w:hint="eastAsia"/>
          <w:lang w:eastAsia="zh-CN"/>
        </w:rPr>
      </w:pPr>
      <w:r>
        <w:t>在PPT制作方面，我们强调了可视化的重要性。文字较多的PPT页通常难以吸引观众的注意，因此我们在内容展示时尽量以流程图、示意图等直观的图形代替长段文字。例如，初版PPT中的数据预处理步骤</w:t>
      </w:r>
      <w:r>
        <w:rPr>
          <w:rFonts w:hint="eastAsia"/>
          <w:lang w:val="en-US" w:eastAsia="zh-CN"/>
        </w:rPr>
        <w:t>如下图</w:t>
      </w:r>
      <w:r>
        <w:rPr>
          <w:rFonts w:hint="eastAsia"/>
          <w:lang w:eastAsia="zh-CN"/>
        </w:rPr>
        <w:t>：</w:t>
      </w:r>
    </w:p>
    <w:p w14:paraId="1ED2431A">
      <w:pPr>
        <w:pStyle w:val="7"/>
        <w:keepNext w:val="0"/>
        <w:keepLines w:val="0"/>
        <w:widowControl/>
        <w:suppressLineNumbers w:val="0"/>
      </w:pPr>
      <w:r>
        <w:drawing>
          <wp:inline distT="0" distB="0" distL="114300" distR="114300">
            <wp:extent cx="5269865" cy="3081020"/>
            <wp:effectExtent l="0" t="0" r="317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3081020"/>
                    </a:xfrm>
                    <a:prstGeom prst="rect">
                      <a:avLst/>
                    </a:prstGeom>
                    <a:noFill/>
                    <a:ln>
                      <a:noFill/>
                    </a:ln>
                  </pic:spPr>
                </pic:pic>
              </a:graphicData>
            </a:graphic>
          </wp:inline>
        </w:drawing>
      </w:r>
    </w:p>
    <w:p w14:paraId="0D78055F">
      <w:pPr>
        <w:pStyle w:val="7"/>
        <w:keepNext w:val="0"/>
        <w:keepLines w:val="0"/>
        <w:widowControl/>
        <w:suppressLineNumbers w:val="0"/>
        <w:rPr>
          <w:rFonts w:hint="eastAsia"/>
          <w:lang w:val="en-US" w:eastAsia="zh-CN"/>
        </w:rPr>
      </w:pPr>
      <w:r>
        <w:rPr>
          <w:rFonts w:hint="eastAsia"/>
          <w:lang w:val="en-US" w:eastAsia="zh-CN"/>
        </w:rPr>
        <w:t>而修改过后的流程图如下:</w:t>
      </w:r>
    </w:p>
    <w:p w14:paraId="17E8E090">
      <w:pPr>
        <w:pStyle w:val="7"/>
        <w:keepNext w:val="0"/>
        <w:keepLines w:val="0"/>
        <w:widowControl/>
        <w:suppressLineNumbers w:val="0"/>
        <w:rPr>
          <w:rFonts w:hint="default"/>
          <w:lang w:val="en-US" w:eastAsia="zh-CN"/>
        </w:rPr>
      </w:pPr>
      <w:r>
        <w:drawing>
          <wp:inline distT="0" distB="0" distL="114300" distR="114300">
            <wp:extent cx="5264785" cy="2388235"/>
            <wp:effectExtent l="0" t="0" r="825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4785" cy="2388235"/>
                    </a:xfrm>
                    <a:prstGeom prst="rect">
                      <a:avLst/>
                    </a:prstGeom>
                    <a:noFill/>
                    <a:ln>
                      <a:noFill/>
                    </a:ln>
                  </pic:spPr>
                </pic:pic>
              </a:graphicData>
            </a:graphic>
          </wp:inline>
        </w:drawing>
      </w:r>
    </w:p>
    <w:p w14:paraId="23C7C822">
      <w:pPr>
        <w:ind w:firstLine="420" w:firstLineChars="0"/>
        <w:rPr>
          <w:rFonts w:ascii="宋体" w:hAnsi="宋体" w:eastAsia="宋体" w:cs="宋体"/>
          <w:sz w:val="24"/>
          <w:szCs w:val="24"/>
        </w:rPr>
      </w:pPr>
      <w:r>
        <w:rPr>
          <w:rFonts w:hint="eastAsia" w:ascii="宋体" w:hAnsi="宋体" w:cs="宋体"/>
          <w:sz w:val="24"/>
          <w:szCs w:val="24"/>
          <w:lang w:val="en-US" w:eastAsia="zh-CN"/>
        </w:rPr>
        <w:t>修改后的</w:t>
      </w:r>
      <w:r>
        <w:rPr>
          <w:rFonts w:ascii="宋体" w:hAnsi="宋体" w:eastAsia="宋体" w:cs="宋体"/>
          <w:sz w:val="24"/>
          <w:szCs w:val="24"/>
        </w:rPr>
        <w:t>PPT采用了流程图的形式展示数据预处理的流程，使得信息流动一目了然，从“采集的数据”到“数据清洗”，再到不同的数据处理分支，形成了直观的视觉路径。这种图示方式比</w:t>
      </w:r>
      <w:r>
        <w:rPr>
          <w:rFonts w:hint="eastAsia" w:ascii="宋体" w:hAnsi="宋体" w:cs="宋体"/>
          <w:sz w:val="24"/>
          <w:szCs w:val="24"/>
          <w:lang w:val="en-US" w:eastAsia="zh-CN"/>
        </w:rPr>
        <w:t>修改前</w:t>
      </w:r>
      <w:r>
        <w:rPr>
          <w:rFonts w:ascii="宋体" w:hAnsi="宋体" w:eastAsia="宋体" w:cs="宋体"/>
          <w:sz w:val="24"/>
          <w:szCs w:val="24"/>
        </w:rPr>
        <w:t>PPT的纯文字呈现更能帮助观众快速理解每一步的处理过程。</w:t>
      </w:r>
    </w:p>
    <w:p w14:paraId="7C1AA264">
      <w:pPr>
        <w:pStyle w:val="3"/>
        <w:bidi w:val="0"/>
        <w:rPr>
          <w:rFonts w:hint="eastAsia"/>
          <w:lang w:val="en-US" w:eastAsia="zh-CN"/>
        </w:rPr>
      </w:pPr>
      <w:r>
        <w:rPr>
          <w:rFonts w:hint="eastAsia"/>
          <w:lang w:val="en-US" w:eastAsia="zh-CN"/>
        </w:rPr>
        <w:t>总结</w:t>
      </w:r>
    </w:p>
    <w:p w14:paraId="4379FA3C">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t>在本次比赛中，我们团队围绕数据采集和分析任务，制定了详尽的方案，并通过实践不断完善。针对比赛环节的要求，我们不仅高质量完成了数据采集和清洗工作，还使用了先进的大语言模型进行标签化处理，增强了数据分析的深度。通过多次演练，我们在PPT展示和表达上达到了最佳效果，顺利在</w:t>
      </w:r>
      <w:r>
        <w:rPr>
          <w:rFonts w:hint="eastAsia" w:ascii="宋体" w:hAnsi="宋体" w:cs="宋体"/>
          <w:sz w:val="24"/>
          <w:szCs w:val="24"/>
          <w:lang w:val="en-US" w:eastAsia="zh-CN"/>
        </w:rPr>
        <w:t>比赛</w:t>
      </w:r>
      <w:r>
        <w:rPr>
          <w:rFonts w:ascii="宋体" w:hAnsi="宋体" w:eastAsia="宋体" w:cs="宋体"/>
          <w:sz w:val="24"/>
          <w:szCs w:val="24"/>
        </w:rPr>
        <w:t>中脱颖而出。这次参赛经历不仅帮助我们掌握了数据处理和分析的实战技能，也提升了团队协作能力，为今后的科研与工作奠定了坚实的基础。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64F1E"/>
    <w:multiLevelType w:val="singleLevel"/>
    <w:tmpl w:val="BF164F1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0YzU4ZjkyNGVhNTNmYjI4ZDg4YTYzMThjNmM4MDQifQ=="/>
  </w:docVars>
  <w:rsids>
    <w:rsidRoot w:val="5EAA36B6"/>
    <w:rsid w:val="08AA607E"/>
    <w:rsid w:val="09F408AD"/>
    <w:rsid w:val="0A364EC1"/>
    <w:rsid w:val="118A6BD2"/>
    <w:rsid w:val="14307F84"/>
    <w:rsid w:val="1777648C"/>
    <w:rsid w:val="27A97FAA"/>
    <w:rsid w:val="2A726C79"/>
    <w:rsid w:val="2CCD0A9D"/>
    <w:rsid w:val="2F412621"/>
    <w:rsid w:val="302F1268"/>
    <w:rsid w:val="305D5FC1"/>
    <w:rsid w:val="30DC2ED6"/>
    <w:rsid w:val="35546C46"/>
    <w:rsid w:val="362353CB"/>
    <w:rsid w:val="36D53422"/>
    <w:rsid w:val="3C1718AB"/>
    <w:rsid w:val="3CA92C91"/>
    <w:rsid w:val="3F0F6198"/>
    <w:rsid w:val="42DA32B5"/>
    <w:rsid w:val="49261002"/>
    <w:rsid w:val="55E3138B"/>
    <w:rsid w:val="57FC2E3C"/>
    <w:rsid w:val="58C03B3C"/>
    <w:rsid w:val="5EAA36B6"/>
    <w:rsid w:val="62ED3BC0"/>
    <w:rsid w:val="6AA3205B"/>
    <w:rsid w:val="74C7299A"/>
    <w:rsid w:val="76877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等线" w:hAnsi="等线" w:eastAsia="宋体" w:cs="Times New Roman"/>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jc w:val="center"/>
      <w:outlineLvl w:val="0"/>
    </w:pPr>
    <w:rPr>
      <w:rFonts w:eastAsia="宋体"/>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1"/>
    <w:autoRedefine/>
    <w:unhideWhenUsed/>
    <w:qFormat/>
    <w:uiPriority w:val="0"/>
    <w:pPr>
      <w:keepNext/>
      <w:keepLines/>
      <w:spacing w:before="260" w:after="260" w:line="416" w:lineRule="auto"/>
      <w:outlineLvl w:val="2"/>
    </w:pPr>
    <w:rPr>
      <w:rFonts w:eastAsia="等线"/>
      <w:b/>
      <w:bCs/>
      <w:sz w:val="30"/>
      <w:szCs w:val="32"/>
    </w:rPr>
  </w:style>
  <w:style w:type="paragraph" w:styleId="5">
    <w:name w:val="heading 4"/>
    <w:basedOn w:val="1"/>
    <w:next w:val="1"/>
    <w:link w:val="12"/>
    <w:autoRedefine/>
    <w:semiHidden/>
    <w:unhideWhenUsed/>
    <w:qFormat/>
    <w:uiPriority w:val="0"/>
    <w:pPr>
      <w:keepNext/>
      <w:keepLines/>
      <w:spacing w:before="280" w:after="290" w:line="376" w:lineRule="auto"/>
      <w:outlineLvl w:val="3"/>
    </w:pPr>
    <w:rPr>
      <w:rFonts w:ascii="等线 Light" w:hAnsi="等线 Light" w:eastAsia="宋体" w:cs="Times New Roman"/>
      <w:b/>
      <w:bCs/>
      <w:sz w:val="28"/>
      <w:szCs w:val="28"/>
    </w:rPr>
  </w:style>
  <w:style w:type="paragraph" w:styleId="6">
    <w:name w:val="heading 5"/>
    <w:basedOn w:val="1"/>
    <w:next w:val="1"/>
    <w:autoRedefine/>
    <w:semiHidden/>
    <w:unhideWhenUsed/>
    <w:qFormat/>
    <w:uiPriority w:val="0"/>
    <w:pPr>
      <w:keepNext/>
      <w:keepLines/>
      <w:spacing w:before="280" w:beforeLines="0" w:beforeAutospacing="0" w:after="290" w:afterLines="0" w:afterAutospacing="0" w:line="372" w:lineRule="auto"/>
      <w:outlineLvl w:val="4"/>
    </w:pPr>
    <w:rPr>
      <w:b/>
      <w:sz w:val="21"/>
    </w:rPr>
  </w:style>
  <w:style w:type="character" w:default="1" w:styleId="9">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customStyle="1" w:styleId="11">
    <w:name w:val="标题 3 字符"/>
    <w:link w:val="4"/>
    <w:qFormat/>
    <w:uiPriority w:val="9"/>
    <w:rPr>
      <w:rFonts w:eastAsia="等线"/>
      <w:b/>
      <w:bCs/>
      <w:sz w:val="30"/>
      <w:szCs w:val="32"/>
    </w:rPr>
  </w:style>
  <w:style w:type="character" w:customStyle="1" w:styleId="12">
    <w:name w:val="标题 4 字符"/>
    <w:link w:val="5"/>
    <w:qFormat/>
    <w:uiPriority w:val="9"/>
    <w:rPr>
      <w:rFonts w:ascii="等线 Light" w:hAnsi="等线 Light" w:eastAsia="宋体" w:cs="Times New Roman"/>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2284</Words>
  <Characters>2349</Characters>
  <Lines>0</Lines>
  <Paragraphs>0</Paragraphs>
  <TotalTime>15</TotalTime>
  <ScaleCrop>false</ScaleCrop>
  <LinksUpToDate>false</LinksUpToDate>
  <CharactersWithSpaces>2362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2024-11-04T13:47:00Z</dcterms:created>
  <dc:creator>微信用户</dc:creator>
  <cp:lastModifiedBy>微信用户</cp:lastModifiedBy>
  <dcterms:modified xsi:type="dcterms:W3CDTF">2024-11-05T05:56:56Z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89A163D02D604B69893538AEB681324E_11</vt:lpwstr>
  </property>
</Properties>
</file>