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70A9A" w14:textId="7FA41A8F" w:rsidR="002C3D6B" w:rsidRPr="00097429" w:rsidRDefault="00BA24C4" w:rsidP="007F27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97429">
        <w:rPr>
          <w:rFonts w:ascii="Arial" w:hAnsi="Arial" w:cs="Arial"/>
          <w:b/>
          <w:bCs/>
          <w:sz w:val="24"/>
          <w:szCs w:val="24"/>
        </w:rPr>
        <w:t>D</w:t>
      </w:r>
      <w:r w:rsidR="002C3D6B" w:rsidRPr="00097429">
        <w:rPr>
          <w:rFonts w:ascii="Arial" w:hAnsi="Arial" w:cs="Arial"/>
          <w:b/>
          <w:bCs/>
          <w:sz w:val="24"/>
          <w:szCs w:val="24"/>
        </w:rPr>
        <w:t>ie Georg-August-</w:t>
      </w:r>
      <w:r w:rsidR="007F27BB" w:rsidRPr="00097429">
        <w:rPr>
          <w:rFonts w:ascii="Arial" w:hAnsi="Arial" w:cs="Arial"/>
          <w:b/>
          <w:bCs/>
          <w:sz w:val="24"/>
          <w:szCs w:val="24"/>
        </w:rPr>
        <w:t>Akademie</w:t>
      </w:r>
    </w:p>
    <w:p w14:paraId="5E26ACD8" w14:textId="737D0EA0" w:rsidR="007F27BB" w:rsidRDefault="002C3D6B" w:rsidP="007F27BB">
      <w:pPr>
        <w:spacing w:after="120"/>
        <w:ind w:firstLine="227"/>
        <w:jc w:val="both"/>
        <w:rPr>
          <w:rFonts w:ascii="Arial" w:hAnsi="Arial" w:cs="Arial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>Die Georg-August-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Göttingen, an der Sie studieren, ist eine der ältesten, größten und renommiertesten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n Deutschlands. Im Jahre 1737 wurde sie gegründet von König Georg II. von England, der gleichzeitig Herrscher von Hannover war; sie trägt seinen Namen bis heute. </w:t>
      </w:r>
    </w:p>
    <w:p w14:paraId="4226E7B4" w14:textId="66F0BAD9" w:rsidR="007F27BB" w:rsidRDefault="002C3D6B" w:rsidP="007F27BB">
      <w:pPr>
        <w:spacing w:after="120"/>
        <w:ind w:firstLine="227"/>
        <w:jc w:val="both"/>
        <w:rPr>
          <w:rFonts w:ascii="Arial" w:hAnsi="Arial" w:cs="Arial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 xml:space="preserve">Die Einrichtung einer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außerhalb der Residenz in einer kleinen Provinzstadt wie Göttingen war </w:t>
      </w:r>
      <w:proofErr w:type="gramStart"/>
      <w:r w:rsidRPr="007F27BB">
        <w:rPr>
          <w:rFonts w:ascii="Arial" w:hAnsi="Arial" w:cs="Arial"/>
          <w:sz w:val="24"/>
          <w:szCs w:val="24"/>
        </w:rPr>
        <w:t>durchaus Programm</w:t>
      </w:r>
      <w:proofErr w:type="gramEnd"/>
      <w:r w:rsidRPr="007F27BB">
        <w:rPr>
          <w:rFonts w:ascii="Arial" w:hAnsi="Arial" w:cs="Arial"/>
          <w:sz w:val="24"/>
          <w:szCs w:val="24"/>
        </w:rPr>
        <w:t xml:space="preserve">: Beabsichtigt war eine Stätte konzentrierter Forschung und Lehre mit universellem Anspruch, ein Konzept, das sich bis heute bewährt hat. Aus den ursprünglichen vier "klassischen" Fakultäten </w:t>
      </w:r>
    </w:p>
    <w:p w14:paraId="6B5D4BDF" w14:textId="3238A536" w:rsidR="007F27BB" w:rsidRPr="007F27BB" w:rsidRDefault="002C3D6B" w:rsidP="007F27BB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i/>
          <w:iCs/>
          <w:sz w:val="24"/>
          <w:szCs w:val="24"/>
        </w:rPr>
      </w:pPr>
      <w:r w:rsidRPr="007F27BB">
        <w:rPr>
          <w:rFonts w:ascii="Arial" w:hAnsi="Arial" w:cs="Arial"/>
          <w:i/>
          <w:iCs/>
          <w:sz w:val="24"/>
          <w:szCs w:val="24"/>
        </w:rPr>
        <w:t xml:space="preserve">Theologie, </w:t>
      </w:r>
    </w:p>
    <w:p w14:paraId="7CD25B6C" w14:textId="77777777" w:rsidR="007F27BB" w:rsidRPr="007F27BB" w:rsidRDefault="002C3D6B" w:rsidP="007F27BB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i/>
          <w:iCs/>
          <w:sz w:val="24"/>
          <w:szCs w:val="24"/>
        </w:rPr>
      </w:pPr>
      <w:r w:rsidRPr="007F27BB">
        <w:rPr>
          <w:rFonts w:ascii="Arial" w:hAnsi="Arial" w:cs="Arial"/>
          <w:i/>
          <w:iCs/>
          <w:sz w:val="24"/>
          <w:szCs w:val="24"/>
        </w:rPr>
        <w:t xml:space="preserve">Jura, </w:t>
      </w:r>
    </w:p>
    <w:p w14:paraId="7B3E3520" w14:textId="77777777" w:rsidR="007F27BB" w:rsidRPr="007F27BB" w:rsidRDefault="002C3D6B" w:rsidP="007F27BB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i/>
          <w:iCs/>
          <w:sz w:val="24"/>
          <w:szCs w:val="24"/>
        </w:rPr>
      </w:pPr>
      <w:r w:rsidRPr="007F27BB">
        <w:rPr>
          <w:rFonts w:ascii="Arial" w:hAnsi="Arial" w:cs="Arial"/>
          <w:i/>
          <w:iCs/>
          <w:sz w:val="24"/>
          <w:szCs w:val="24"/>
        </w:rPr>
        <w:t xml:space="preserve">Medizin und </w:t>
      </w:r>
    </w:p>
    <w:p w14:paraId="7F378078" w14:textId="2D0A3273" w:rsidR="007F27BB" w:rsidRPr="007F27BB" w:rsidRDefault="002C3D6B" w:rsidP="007F27BB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i/>
          <w:iCs/>
          <w:sz w:val="24"/>
          <w:szCs w:val="24"/>
        </w:rPr>
      </w:pPr>
      <w:r w:rsidRPr="007F27BB">
        <w:rPr>
          <w:rFonts w:ascii="Arial" w:hAnsi="Arial" w:cs="Arial"/>
          <w:i/>
          <w:iCs/>
          <w:sz w:val="24"/>
          <w:szCs w:val="24"/>
        </w:rPr>
        <w:t xml:space="preserve">Philosophie </w:t>
      </w:r>
    </w:p>
    <w:p w14:paraId="0A870A9C" w14:textId="216D6834" w:rsidR="002C3D6B" w:rsidRDefault="002C3D6B" w:rsidP="007F27BB">
      <w:pPr>
        <w:spacing w:before="120" w:after="120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 xml:space="preserve">entwickelten sich die heutigen 13 Fakultäten mit ca. 170 Instituten, 550 Professoren, 11.000 Mitarbeitern und rund 24.500 Studierenden. Bis auf die rein technischen Fächer sind hier nahezu alle </w:t>
      </w:r>
      <w:proofErr w:type="spellStart"/>
      <w:r w:rsidRPr="007F27BB">
        <w:rPr>
          <w:rFonts w:ascii="Arial" w:hAnsi="Arial" w:cs="Arial"/>
          <w:sz w:val="24"/>
          <w:szCs w:val="24"/>
        </w:rPr>
        <w:t>Wissensgebite</w:t>
      </w:r>
      <w:proofErr w:type="spellEnd"/>
      <w:r w:rsidRPr="007F27BB">
        <w:rPr>
          <w:rFonts w:ascii="Arial" w:hAnsi="Arial" w:cs="Arial"/>
          <w:sz w:val="24"/>
          <w:szCs w:val="24"/>
        </w:rPr>
        <w:t xml:space="preserve"> vertreten.</w:t>
      </w:r>
      <w:r w:rsidRPr="007F27BB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</w:p>
    <w:p w14:paraId="4BF30E99" w14:textId="7167F429" w:rsidR="00081AFD" w:rsidRPr="007F27BB" w:rsidRDefault="00081AFD" w:rsidP="007F27BB">
      <w:pPr>
        <w:spacing w:before="120" w:after="120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noProof/>
          <w:color w:val="1F4E79" w:themeColor="accent1" w:themeShade="80"/>
          <w:sz w:val="24"/>
          <w:szCs w:val="24"/>
        </w:rPr>
        <w:drawing>
          <wp:inline distT="0" distB="0" distL="0" distR="0" wp14:anchorId="3C0ECE44" wp14:editId="5E4885B1">
            <wp:extent cx="2655570" cy="2878455"/>
            <wp:effectExtent l="0" t="0" r="0" b="4445"/>
            <wp:docPr id="1554353780" name="Picture 1" descr="A group of people sitting on benches in fro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53780" name="Picture 1" descr="A group of people sitting on benches in front of a build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55FB" w14:textId="3C89ADFD" w:rsidR="007F27BB" w:rsidRPr="007F27BB" w:rsidRDefault="002C3D6B" w:rsidP="007F27BB">
      <w:pPr>
        <w:spacing w:after="120"/>
        <w:ind w:firstLine="227"/>
        <w:jc w:val="both"/>
        <w:rPr>
          <w:rFonts w:ascii="Arial" w:hAnsi="Arial" w:cs="Arial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 xml:space="preserve">Die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war </w:t>
      </w:r>
      <w:proofErr w:type="gramStart"/>
      <w:r w:rsidRPr="007F27BB">
        <w:rPr>
          <w:rFonts w:ascii="Arial" w:hAnsi="Arial" w:cs="Arial"/>
          <w:sz w:val="24"/>
          <w:szCs w:val="24"/>
        </w:rPr>
        <w:t>natürlich nicht</w:t>
      </w:r>
      <w:proofErr w:type="gramEnd"/>
      <w:r w:rsidRPr="007F27BB">
        <w:rPr>
          <w:rFonts w:ascii="Arial" w:hAnsi="Arial" w:cs="Arial"/>
          <w:sz w:val="24"/>
          <w:szCs w:val="24"/>
        </w:rPr>
        <w:t xml:space="preserve"> immer so groß, Internationale Bedeutung erlangte sie aber schon wenige Jahrzehnte nach Ihrer Gründung. Berühmte Gelehrte und Universalgenies wie Haller, Lichtenberg, Pütter, Schlözer und Heyne verwirklichten eine "</w:t>
      </w:r>
      <w:proofErr w:type="spellStart"/>
      <w:r w:rsidRPr="007F27BB">
        <w:rPr>
          <w:rFonts w:ascii="Arial" w:hAnsi="Arial" w:cs="Arial"/>
          <w:sz w:val="24"/>
          <w:szCs w:val="24"/>
        </w:rPr>
        <w:t>Reform</w:t>
      </w:r>
      <w:r w:rsidR="007F27BB">
        <w:rPr>
          <w:rFonts w:ascii="Arial" w:hAnsi="Arial" w:cs="Arial"/>
          <w:sz w:val="24"/>
          <w:szCs w:val="24"/>
        </w:rPr>
        <w:t>Akademie</w:t>
      </w:r>
      <w:proofErr w:type="spellEnd"/>
      <w:r w:rsidRPr="007F27BB">
        <w:rPr>
          <w:rFonts w:ascii="Arial" w:hAnsi="Arial" w:cs="Arial"/>
          <w:sz w:val="24"/>
          <w:szCs w:val="24"/>
        </w:rPr>
        <w:t xml:space="preserve">" des Aufklärungszeitalters, in der man daran gehen konnte, das Ideal von freier Forschung und Lehre zu verwirklichen. Napoleon stellte die noch junge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unter seinen Schutz, wenn er dekretierte, sie gehöre nicht allein ihrem König, sondern "Europa". </w:t>
      </w:r>
    </w:p>
    <w:p w14:paraId="1928D33D" w14:textId="7F1D43CA" w:rsidR="007F27BB" w:rsidRDefault="007F27BB" w:rsidP="007F27BB">
      <w:pPr>
        <w:spacing w:after="120"/>
        <w:ind w:firstLine="227"/>
        <w:jc w:val="both"/>
        <w:rPr>
          <w:rFonts w:ascii="Arial" w:hAnsi="Arial" w:cs="Arial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>Einen besonderen europäischen Rang erwarb sich vor allem auch die erste moderne Forschungsbibliothek, die 1812 bereits 250.000 Bände besaß. Heute sind daraus mehr als 4 Millionen geworden, und der 1992 bezogene Neubau auf dem Campusgelände ist ein richtungsweisender Bibliotheksbau im Weltmaßstab.</w:t>
      </w:r>
    </w:p>
    <w:p w14:paraId="0A870A9D" w14:textId="52D16F62" w:rsidR="000D1EDD" w:rsidRPr="007F27BB" w:rsidRDefault="002C3D6B" w:rsidP="007F27BB">
      <w:pPr>
        <w:spacing w:after="120"/>
        <w:ind w:firstLine="227"/>
        <w:jc w:val="both"/>
        <w:rPr>
          <w:rFonts w:ascii="Arial" w:hAnsi="Arial" w:cs="Arial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 xml:space="preserve">Die erste Blütezeit der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im 18. Jahrhundert und ihre zweite große Ära im ersten Drittel unseres Jahrhunderts wurden durch nachfolgende Repressionen verdunkelt: 1837 entließ der König die "Göttinger Sieben" - Professoren, unter denen auch die Gebrüder Grimm waren - die öffentlich gegen die Aufhebung eines liberalen Staatsgrundgesetzes protestiert hatten. Die Ausweisung bedeutete einen schweren Verlust an geistiger Substanz, übertroffen noch von dem Schlag, den die Nationalsozialisten der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mit der Vertreibung der jüdischen und linksliberalen Professoren versetzten.</w:t>
      </w:r>
    </w:p>
    <w:sectPr w:rsidR="000D1EDD" w:rsidRPr="007F27BB" w:rsidSect="00081AFD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F3921"/>
    <w:multiLevelType w:val="hybridMultilevel"/>
    <w:tmpl w:val="316C5C6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0BF2"/>
    <w:multiLevelType w:val="hybridMultilevel"/>
    <w:tmpl w:val="C26A11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D55CE"/>
    <w:multiLevelType w:val="hybridMultilevel"/>
    <w:tmpl w:val="FEE0701A"/>
    <w:lvl w:ilvl="0" w:tplc="54F0F63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E5422"/>
    <w:multiLevelType w:val="hybridMultilevel"/>
    <w:tmpl w:val="421222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4241">
    <w:abstractNumId w:val="2"/>
  </w:num>
  <w:num w:numId="2" w16cid:durableId="1802532305">
    <w:abstractNumId w:val="3"/>
  </w:num>
  <w:num w:numId="3" w16cid:durableId="2011831194">
    <w:abstractNumId w:val="0"/>
  </w:num>
  <w:num w:numId="4" w16cid:durableId="1843205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D6B"/>
    <w:rsid w:val="00065C76"/>
    <w:rsid w:val="00081AFD"/>
    <w:rsid w:val="00097429"/>
    <w:rsid w:val="000D1EDD"/>
    <w:rsid w:val="002C3D6B"/>
    <w:rsid w:val="006304CA"/>
    <w:rsid w:val="007F27BB"/>
    <w:rsid w:val="00AF1BA8"/>
    <w:rsid w:val="00B56E52"/>
    <w:rsid w:val="00BA24C4"/>
    <w:rsid w:val="00CF5A4B"/>
    <w:rsid w:val="00D5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A9A"/>
  <w15:docId w15:val="{44D4C3E5-6886-495C-902C-0865A347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FF0856-A350-A544-9784-2B751CBC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Anna-Lena Hauschild</dc:creator>
  <cp:keywords/>
  <dc:description/>
  <cp:lastModifiedBy>Julius Hunold | MD Telekom</cp:lastModifiedBy>
  <cp:revision>10</cp:revision>
  <dcterms:created xsi:type="dcterms:W3CDTF">2015-04-16T18:41:00Z</dcterms:created>
  <dcterms:modified xsi:type="dcterms:W3CDTF">2024-10-28T21:09:00Z</dcterms:modified>
</cp:coreProperties>
</file>