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9"/>
          <w:sz w:val="52"/>
        </w:rPr>
        <w:t>GeoARK</w:t>
      </w:r>
    </w:p>
    <w:p>
      <w:pPr>
        <w:spacing w:after="60"/>
      </w:pPr>
      <w:r>
        <w:rPr>
          <w:color w:val="5F5F5C"/>
          <w:sz w:val="24"/>
        </w:rPr>
        <w:t>Geospatial analysis from natural language, running entirely on local infrastructure</w:t>
      </w:r>
    </w:p>
    <w:p>
      <w:pPr>
        <w:spacing w:after="280"/>
      </w:pPr>
      <w:r>
        <w:rPr>
          <w:color w:val="5F5F5C"/>
          <w:sz w:val="19"/>
        </w:rPr>
        <w:t>Technical status report  ·  3 September 2026  ·  Sam Spell</w:t>
      </w:r>
    </w:p>
    <w:p>
      <w:pPr>
        <w:pStyle w:val="Heading1"/>
      </w:pPr>
      <w:r>
        <w:t>Summary</w:t>
      </w:r>
    </w:p>
    <w:p>
      <w:r>
        <w:t xml:space="preserve">GeoARK turns a plain-English question such as </w:t>
      </w:r>
      <w:r>
        <w:rPr>
          <w:i/>
        </w:rPr>
        <w:t>"how far is each county from the nearest hospital"</w:t>
      </w:r>
      <w:r>
        <w:t xml:space="preserve"> or </w:t>
      </w:r>
      <w:r>
        <w:rPr>
          <w:i/>
        </w:rPr>
        <w:t>"where are the fire stations in Springfield, Missouri"</w:t>
      </w:r>
      <w:r>
        <w:t xml:space="preserve"> into an executed spatial query and a map, with a full record of how the answer was produced. It runs with </w:t>
      </w:r>
      <w:r>
        <w:rPr>
          <w:b/>
        </w:rPr>
        <w:t>no cloud APIs</w:t>
      </w:r>
      <w:r>
        <w:t>: a local language model (Ollama), a local embedding model, and PostGIS, all in Docker on a single machine.</w:t>
      </w:r>
    </w:p>
    <w:p>
      <w:r>
        <w:t xml:space="preserve">The system works end to end today. A question is decomposed into concepts, those concepts are matched against a catalog of 6,860 data attributes, a plan is generated under a schema constraint, the plan is validated and compiled to SQL by </w:t>
      </w:r>
      <w:r>
        <w:rPr>
          <w:b/>
        </w:rPr>
        <w:t>deterministic code rather than by the model</w:t>
      </w:r>
      <w:r>
        <w:t>, and the result is drawn as a choropleth or a feature map with downloadable data and provenance.</w:t>
      </w:r>
    </w:p>
    <w:p>
      <w:r>
        <w:t>The last month moved the project from "a plan comes back" to "the plan is the right shape for the question", which required building a measurement instrument that could tell the difference. That distinction is the main theme of this report.</w:t>
      </w:r>
    </w:p>
    <w:p>
      <w:pPr>
        <w:pStyle w:val="Heading1"/>
      </w:pPr>
      <w:r>
        <w:t>Status at a glance</w:t>
      </w:r>
    </w:p>
    <w:tbl>
      <w:tblPr>
        <w:tblStyle w:val="TableGrid"/>
        <w:tblW w:type="auto" w:w="0"/>
        <w:jc w:val="left"/>
        <w:tblLayout w:type="fixed"/>
        <w:tblLook w:firstColumn="1" w:firstRow="1" w:lastColumn="0" w:lastRow="0" w:noHBand="0" w:noVBand="1" w:val="04A0"/>
      </w:tblPr>
      <w:tblGrid>
        <w:gridCol w:w="3168"/>
        <w:gridCol w:w="3168"/>
        <w:gridCol w:w="3168"/>
      </w:tblGrid>
      <w:tr>
        <w:tc>
          <w:tcPr>
            <w:tcW w:type="dxa" w:w="3312"/>
            <w:shd w:val="clear" w:fill="EDF1F6"/>
          </w:tcPr>
          <w:p>
            <w:pPr>
              <w:spacing w:after="40" w:before="40"/>
            </w:pPr>
            <w:r/>
            <w:r>
              <w:rPr>
                <w:b/>
                <w:sz w:val="19"/>
              </w:rPr>
              <w:t>Measure</w:t>
            </w:r>
          </w:p>
        </w:tc>
        <w:tc>
          <w:tcPr>
            <w:tcW w:type="dxa" w:w="1656"/>
            <w:shd w:val="clear" w:fill="EDF1F6"/>
          </w:tcPr>
          <w:p>
            <w:pPr>
              <w:spacing w:after="40" w:before="40"/>
              <w:jc w:val="right"/>
            </w:pPr>
            <w:r/>
            <w:r>
              <w:rPr>
                <w:b/>
                <w:sz w:val="19"/>
              </w:rPr>
              <w:t>Current</w:t>
            </w:r>
          </w:p>
        </w:tc>
        <w:tc>
          <w:tcPr>
            <w:tcW w:type="dxa" w:w="4536"/>
            <w:shd w:val="clear" w:fill="EDF1F6"/>
          </w:tcPr>
          <w:p>
            <w:pPr>
              <w:spacing w:after="40" w:before="40"/>
            </w:pPr>
            <w:r/>
            <w:r>
              <w:rPr>
                <w:b/>
                <w:sz w:val="19"/>
              </w:rPr>
              <w:t>Notes</w:t>
            </w:r>
          </w:p>
        </w:tc>
      </w:tr>
      <w:tr>
        <w:tc>
          <w:tcPr>
            <w:tcW w:type="dxa" w:w="3312"/>
          </w:tcPr>
          <w:p>
            <w:pPr>
              <w:spacing w:after="40" w:before="40"/>
            </w:pPr>
            <w:r>
              <w:rPr>
                <w:sz w:val="19"/>
              </w:rPr>
            </w:r>
            <w:r>
              <w:rPr>
                <w:sz w:val="19"/>
              </w:rPr>
              <w:t>Retrieval, concept recall</w:t>
            </w:r>
          </w:p>
        </w:tc>
        <w:tc>
          <w:tcPr>
            <w:tcW w:type="dxa" w:w="1656"/>
          </w:tcPr>
          <w:p>
            <w:pPr>
              <w:spacing w:after="40" w:before="40"/>
              <w:jc w:val="right"/>
            </w:pPr>
            <w:r>
              <w:rPr>
                <w:sz w:val="19"/>
              </w:rPr>
            </w:r>
            <w:r>
              <w:rPr>
                <w:b/>
                <w:sz w:val="19"/>
              </w:rPr>
              <w:t>97.8%</w:t>
            </w:r>
          </w:p>
        </w:tc>
        <w:tc>
          <w:tcPr>
            <w:tcW w:type="dxa" w:w="4536"/>
          </w:tcPr>
          <w:p>
            <w:pPr>
              <w:spacing w:after="40" w:before="40"/>
            </w:pPr>
            <w:r>
              <w:rPr>
                <w:sz w:val="19"/>
              </w:rPr>
            </w:r>
            <w:r>
              <w:rPr>
                <w:sz w:val="19"/>
              </w:rPr>
              <w:t>37 queries across six suites</w:t>
            </w:r>
          </w:p>
        </w:tc>
      </w:tr>
      <w:tr>
        <w:tc>
          <w:tcPr>
            <w:tcW w:type="dxa" w:w="3312"/>
          </w:tcPr>
          <w:p>
            <w:pPr>
              <w:spacing w:after="40" w:before="40"/>
            </w:pPr>
            <w:r>
              <w:rPr>
                <w:sz w:val="19"/>
              </w:rPr>
            </w:r>
            <w:r>
              <w:rPr>
                <w:sz w:val="19"/>
              </w:rPr>
              <w:t>Retrieval, query success</w:t>
            </w:r>
          </w:p>
        </w:tc>
        <w:tc>
          <w:tcPr>
            <w:tcW w:type="dxa" w:w="1656"/>
          </w:tcPr>
          <w:p>
            <w:pPr>
              <w:spacing w:after="40" w:before="40"/>
              <w:jc w:val="right"/>
            </w:pPr>
            <w:r>
              <w:rPr>
                <w:sz w:val="19"/>
              </w:rPr>
            </w:r>
            <w:r>
              <w:rPr>
                <w:b/>
                <w:sz w:val="19"/>
              </w:rPr>
              <w:t>97.3%</w:t>
            </w:r>
          </w:p>
        </w:tc>
        <w:tc>
          <w:tcPr>
            <w:tcW w:type="dxa" w:w="4536"/>
          </w:tcPr>
          <w:p>
            <w:pPr>
              <w:spacing w:after="40" w:before="40"/>
            </w:pPr>
            <w:r>
              <w:rPr>
                <w:sz w:val="19"/>
              </w:rPr>
            </w:r>
            <w:r>
              <w:rPr>
                <w:sz w:val="19"/>
              </w:rPr>
              <w:t>Started at 84.4%</w:t>
            </w:r>
          </w:p>
        </w:tc>
      </w:tr>
      <w:tr>
        <w:tc>
          <w:tcPr>
            <w:tcW w:type="dxa" w:w="3312"/>
          </w:tcPr>
          <w:p>
            <w:pPr>
              <w:spacing w:after="40" w:before="40"/>
            </w:pPr>
            <w:r>
              <w:rPr>
                <w:sz w:val="19"/>
              </w:rPr>
            </w:r>
            <w:r>
              <w:rPr>
                <w:sz w:val="19"/>
              </w:rPr>
              <w:t>Retrieval latency (p50)</w:t>
            </w:r>
          </w:p>
        </w:tc>
        <w:tc>
          <w:tcPr>
            <w:tcW w:type="dxa" w:w="1656"/>
          </w:tcPr>
          <w:p>
            <w:pPr>
              <w:spacing w:after="40" w:before="40"/>
              <w:jc w:val="right"/>
            </w:pPr>
            <w:r>
              <w:rPr>
                <w:sz w:val="19"/>
              </w:rPr>
            </w:r>
            <w:r>
              <w:rPr>
                <w:sz w:val="19"/>
              </w:rPr>
              <w:t>~1.0s</w:t>
            </w:r>
          </w:p>
        </w:tc>
        <w:tc>
          <w:tcPr>
            <w:tcW w:type="dxa" w:w="4536"/>
          </w:tcPr>
          <w:p>
            <w:pPr>
              <w:spacing w:after="40" w:before="40"/>
            </w:pPr>
            <w:r>
              <w:rPr>
                <w:sz w:val="19"/>
              </w:rPr>
            </w:r>
            <w:r>
              <w:rPr>
                <w:sz w:val="19"/>
              </w:rPr>
              <w:t>On the GPU host, end to end</w:t>
            </w:r>
          </w:p>
        </w:tc>
      </w:tr>
      <w:tr>
        <w:tc>
          <w:tcPr>
            <w:tcW w:type="dxa" w:w="3312"/>
          </w:tcPr>
          <w:p>
            <w:pPr>
              <w:spacing w:after="40" w:before="40"/>
            </w:pPr>
            <w:r>
              <w:rPr>
                <w:sz w:val="19"/>
              </w:rPr>
            </w:r>
            <w:r>
              <w:rPr>
                <w:sz w:val="19"/>
              </w:rPr>
              <w:t>Planner, op appropriateness</w:t>
            </w:r>
          </w:p>
        </w:tc>
        <w:tc>
          <w:tcPr>
            <w:tcW w:type="dxa" w:w="1656"/>
          </w:tcPr>
          <w:p>
            <w:pPr>
              <w:spacing w:after="40" w:before="40"/>
              <w:jc w:val="right"/>
            </w:pPr>
            <w:r>
              <w:rPr>
                <w:sz w:val="19"/>
              </w:rPr>
            </w:r>
            <w:r>
              <w:rPr>
                <w:b/>
                <w:sz w:val="19"/>
              </w:rPr>
              <w:t>95.2%</w:t>
            </w:r>
          </w:p>
        </w:tc>
        <w:tc>
          <w:tcPr>
            <w:tcW w:type="dxa" w:w="4536"/>
          </w:tcPr>
          <w:p>
            <w:pPr>
              <w:spacing w:after="40" w:before="40"/>
            </w:pPr>
            <w:r>
              <w:rPr>
                <w:sz w:val="19"/>
              </w:rPr>
            </w:r>
            <w:r>
              <w:rPr>
                <w:sz w:val="19"/>
              </w:rPr>
              <w:t>20 of 21; the number that means something</w:t>
            </w:r>
          </w:p>
        </w:tc>
      </w:tr>
      <w:tr>
        <w:tc>
          <w:tcPr>
            <w:tcW w:type="dxa" w:w="3312"/>
          </w:tcPr>
          <w:p>
            <w:pPr>
              <w:spacing w:after="40" w:before="40"/>
            </w:pPr>
            <w:r>
              <w:rPr>
                <w:sz w:val="19"/>
              </w:rPr>
            </w:r>
            <w:r>
              <w:rPr>
                <w:sz w:val="19"/>
              </w:rPr>
              <w:t>Planner, forbidden-op rate</w:t>
            </w:r>
          </w:p>
        </w:tc>
        <w:tc>
          <w:tcPr>
            <w:tcW w:type="dxa" w:w="1656"/>
          </w:tcPr>
          <w:p>
            <w:pPr>
              <w:spacing w:after="40" w:before="40"/>
              <w:jc w:val="right"/>
            </w:pPr>
            <w:r>
              <w:rPr>
                <w:sz w:val="19"/>
              </w:rPr>
            </w:r>
            <w:r>
              <w:rPr>
                <w:b/>
                <w:sz w:val="19"/>
              </w:rPr>
              <w:t>0.0%</w:t>
            </w:r>
          </w:p>
        </w:tc>
        <w:tc>
          <w:tcPr>
            <w:tcW w:type="dxa" w:w="4536"/>
          </w:tcPr>
          <w:p>
            <w:pPr>
              <w:spacing w:after="40" w:before="40"/>
            </w:pPr>
            <w:r>
              <w:rPr>
                <w:sz w:val="19"/>
              </w:rPr>
            </w:r>
            <w:r>
              <w:rPr>
                <w:sz w:val="19"/>
              </w:rPr>
              <w:t>No clearly wrong op was chosen</w:t>
            </w:r>
          </w:p>
        </w:tc>
      </w:tr>
      <w:tr>
        <w:tc>
          <w:tcPr>
            <w:tcW w:type="dxa" w:w="3312"/>
          </w:tcPr>
          <w:p>
            <w:pPr>
              <w:spacing w:after="40" w:before="40"/>
            </w:pPr>
            <w:r>
              <w:rPr>
                <w:sz w:val="19"/>
              </w:rPr>
            </w:r>
            <w:r>
              <w:rPr>
                <w:sz w:val="19"/>
              </w:rPr>
              <w:t>Planner latency (mean)</w:t>
            </w:r>
          </w:p>
        </w:tc>
        <w:tc>
          <w:tcPr>
            <w:tcW w:type="dxa" w:w="1656"/>
          </w:tcPr>
          <w:p>
            <w:pPr>
              <w:spacing w:after="40" w:before="40"/>
              <w:jc w:val="right"/>
            </w:pPr>
            <w:r>
              <w:rPr>
                <w:sz w:val="19"/>
              </w:rPr>
            </w:r>
            <w:r>
              <w:rPr>
                <w:sz w:val="19"/>
              </w:rPr>
              <w:t>22.8s</w:t>
            </w:r>
          </w:p>
        </w:tc>
        <w:tc>
          <w:tcPr>
            <w:tcW w:type="dxa" w:w="4536"/>
          </w:tcPr>
          <w:p>
            <w:pPr>
              <w:spacing w:after="40" w:before="40"/>
            </w:pPr>
            <w:r>
              <w:rPr>
                <w:sz w:val="19"/>
              </w:rPr>
            </w:r>
            <w:r>
              <w:rPr>
                <w:sz w:val="19"/>
              </w:rPr>
              <w:t>qwen3:14b, single GPU, one at a time</w:t>
            </w:r>
          </w:p>
        </w:tc>
      </w:tr>
      <w:tr>
        <w:tc>
          <w:tcPr>
            <w:tcW w:type="dxa" w:w="3312"/>
          </w:tcPr>
          <w:p>
            <w:pPr>
              <w:spacing w:after="40" w:before="40"/>
            </w:pPr>
            <w:r>
              <w:rPr>
                <w:sz w:val="19"/>
              </w:rPr>
            </w:r>
            <w:r>
              <w:rPr>
                <w:sz w:val="19"/>
              </w:rPr>
              <w:t>Catalog coverage</w:t>
            </w:r>
          </w:p>
        </w:tc>
        <w:tc>
          <w:tcPr>
            <w:tcW w:type="dxa" w:w="1656"/>
          </w:tcPr>
          <w:p>
            <w:pPr>
              <w:spacing w:after="40" w:before="40"/>
              <w:jc w:val="right"/>
            </w:pPr>
            <w:r>
              <w:rPr>
                <w:sz w:val="19"/>
              </w:rPr>
            </w:r>
            <w:r>
              <w:rPr>
                <w:b/>
                <w:sz w:val="19"/>
              </w:rPr>
              <w:t>71.3%</w:t>
            </w:r>
          </w:p>
        </w:tc>
        <w:tc>
          <w:tcPr>
            <w:tcW w:type="dxa" w:w="4536"/>
          </w:tcPr>
          <w:p>
            <w:pPr>
              <w:spacing w:after="40" w:before="40"/>
            </w:pPr>
            <w:r>
              <w:rPr>
                <w:sz w:val="19"/>
              </w:rPr>
            </w:r>
            <w:r>
              <w:rPr>
                <w:sz w:val="19"/>
              </w:rPr>
              <w:t>4,893 of 6,860 attributes hold real data</w:t>
            </w:r>
          </w:p>
        </w:tc>
      </w:tr>
      <w:tr>
        <w:tc>
          <w:tcPr>
            <w:tcW w:type="dxa" w:w="3312"/>
          </w:tcPr>
          <w:p>
            <w:pPr>
              <w:spacing w:after="40" w:before="40"/>
            </w:pPr>
            <w:r>
              <w:rPr>
                <w:sz w:val="19"/>
              </w:rPr>
            </w:r>
            <w:r>
              <w:rPr>
                <w:sz w:val="19"/>
              </w:rPr>
              <w:t>Automated tests</w:t>
            </w:r>
          </w:p>
        </w:tc>
        <w:tc>
          <w:tcPr>
            <w:tcW w:type="dxa" w:w="1656"/>
          </w:tcPr>
          <w:p>
            <w:pPr>
              <w:spacing w:after="40" w:before="40"/>
              <w:jc w:val="right"/>
            </w:pPr>
            <w:r>
              <w:rPr>
                <w:sz w:val="19"/>
              </w:rPr>
            </w:r>
            <w:r>
              <w:rPr>
                <w:b/>
                <w:sz w:val="19"/>
              </w:rPr>
              <w:t>94 passing</w:t>
            </w:r>
          </w:p>
        </w:tc>
        <w:tc>
          <w:tcPr>
            <w:tcW w:type="dxa" w:w="4536"/>
          </w:tcPr>
          <w:p>
            <w:pPr>
              <w:spacing w:after="40" w:before="40"/>
            </w:pPr>
            <w:r>
              <w:rPr>
                <w:sz w:val="19"/>
              </w:rPr>
            </w:r>
            <w:r>
              <w:rPr>
                <w:sz w:val="19"/>
              </w:rPr>
              <w:t>66 planner, 18 access control, 10 follow-ups</w:t>
            </w:r>
          </w:p>
        </w:tc>
      </w:tr>
      <w:tr>
        <w:tc>
          <w:tcPr>
            <w:tcW w:type="dxa" w:w="3312"/>
          </w:tcPr>
          <w:p>
            <w:pPr>
              <w:spacing w:after="40" w:before="40"/>
            </w:pPr>
            <w:r>
              <w:rPr>
                <w:sz w:val="19"/>
              </w:rPr>
            </w:r>
            <w:r>
              <w:rPr>
                <w:sz w:val="19"/>
              </w:rPr>
              <w:t>Source size</w:t>
            </w:r>
          </w:p>
        </w:tc>
        <w:tc>
          <w:tcPr>
            <w:tcW w:type="dxa" w:w="1656"/>
          </w:tcPr>
          <w:p>
            <w:pPr>
              <w:spacing w:after="40" w:before="40"/>
              <w:jc w:val="right"/>
            </w:pPr>
            <w:r>
              <w:rPr>
                <w:sz w:val="19"/>
              </w:rPr>
            </w:r>
            <w:r>
              <w:rPr>
                <w:sz w:val="19"/>
              </w:rPr>
              <w:t>~15,700 lines</w:t>
            </w:r>
          </w:p>
        </w:tc>
        <w:tc>
          <w:tcPr>
            <w:tcW w:type="dxa" w:w="4536"/>
          </w:tcPr>
          <w:p>
            <w:pPr>
              <w:spacing w:after="40" w:before="40"/>
            </w:pPr>
            <w:r>
              <w:rPr>
                <w:sz w:val="19"/>
              </w:rPr>
            </w:r>
            <w:r>
              <w:rPr>
                <w:sz w:val="19"/>
              </w:rPr>
              <w:t>Backend, ETL, eval and frontend</w:t>
            </w:r>
          </w:p>
        </w:tc>
      </w:tr>
    </w:tbl>
    <w:p>
      <w:pPr>
        <w:spacing w:after="40"/>
      </w:pPr>
    </w:p>
    <w:p>
      <w:pPr>
        <w:spacing w:before="40" w:after="180"/>
        <w:ind w:left="317"/>
      </w:pPr>
      <w:r>
        <w:rPr>
          <w:color w:val="5F5F5C"/>
          <w:sz w:val="19"/>
        </w:rPr>
        <w:t xml:space="preserve">Every number above comes from a saved evaluation artifact in </w:t>
      </w:r>
      <w:r>
        <w:rPr>
          <w:rFonts w:ascii="Consolas" w:hAnsi="Consolas"/>
          <w:color w:val="5F5F5C"/>
          <w:sz w:val="19"/>
        </w:rPr>
        <w:t>eval/</w:t>
      </w:r>
      <w:r>
        <w:rPr>
          <w:color w:val="5F5F5C"/>
          <w:sz w:val="19"/>
        </w:rPr>
        <w:t xml:space="preserve">, not from a one-off run. Comparisons across changes are done with </w:t>
      </w:r>
      <w:r>
        <w:rPr>
          <w:rFonts w:ascii="Consolas" w:hAnsi="Consolas"/>
          <w:color w:val="5F5F5C"/>
          <w:sz w:val="19"/>
        </w:rPr>
        <w:t>--compare</w:t>
      </w:r>
      <w:r>
        <w:rPr>
          <w:color w:val="5F5F5C"/>
          <w:sz w:val="19"/>
        </w:rPr>
        <w:t xml:space="preserve"> against those files.</w:t>
      </w:r>
    </w:p>
    <w:p>
      <w:pPr>
        <w:pStyle w:val="Heading1"/>
      </w:pPr>
      <w:r>
        <w:t>How it works</w:t>
      </w:r>
    </w:p>
    <w:p>
      <w:r>
        <w:t>Six stages, each of which can be inspected:</w:t>
      </w:r>
    </w:p>
    <w:tbl>
      <w:tblPr>
        <w:tblStyle w:val="TableGrid"/>
        <w:tblW w:type="auto" w:w="0"/>
        <w:jc w:val="left"/>
        <w:tblLayout w:type="fixed"/>
        <w:tblLook w:firstColumn="1" w:firstRow="1" w:lastColumn="0" w:lastRow="0" w:noHBand="0" w:noVBand="1" w:val="04A0"/>
      </w:tblPr>
      <w:tblGrid>
        <w:gridCol w:w="3168"/>
        <w:gridCol w:w="3168"/>
        <w:gridCol w:w="3168"/>
      </w:tblGrid>
      <w:tr>
        <w:tc>
          <w:tcPr>
            <w:tcW w:type="dxa" w:w="1584"/>
            <w:shd w:val="clear" w:fill="EDF1F6"/>
          </w:tcPr>
          <w:p>
            <w:pPr>
              <w:spacing w:after="40" w:before="40"/>
            </w:pPr>
            <w:r/>
            <w:r>
              <w:rPr>
                <w:b/>
                <w:sz w:val="19"/>
              </w:rPr>
              <w:t>Stage</w:t>
            </w:r>
          </w:p>
        </w:tc>
        <w:tc>
          <w:tcPr>
            <w:tcW w:type="dxa" w:w="5616"/>
            <w:shd w:val="clear" w:fill="EDF1F6"/>
          </w:tcPr>
          <w:p>
            <w:pPr>
              <w:spacing w:after="40" w:before="40"/>
            </w:pPr>
            <w:r/>
            <w:r>
              <w:rPr>
                <w:b/>
                <w:sz w:val="19"/>
              </w:rPr>
              <w:t>What happens</w:t>
            </w:r>
          </w:p>
        </w:tc>
        <w:tc>
          <w:tcPr>
            <w:tcW w:type="dxa" w:w="2304"/>
            <w:shd w:val="clear" w:fill="EDF1F6"/>
          </w:tcPr>
          <w:p>
            <w:pPr>
              <w:spacing w:after="40" w:before="40"/>
            </w:pPr>
            <w:r/>
            <w:r>
              <w:rPr>
                <w:b/>
                <w:sz w:val="19"/>
              </w:rPr>
              <w:t>Component</w:t>
            </w:r>
          </w:p>
        </w:tc>
      </w:tr>
      <w:tr>
        <w:tc>
          <w:tcPr>
            <w:tcW w:type="dxa" w:w="1584"/>
          </w:tcPr>
          <w:p>
            <w:pPr>
              <w:spacing w:after="40" w:before="40"/>
            </w:pPr>
            <w:r>
              <w:rPr>
                <w:sz w:val="19"/>
              </w:rPr>
            </w:r>
            <w:r>
              <w:rPr>
                <w:sz w:val="19"/>
              </w:rPr>
              <w:t>Decompose</w:t>
            </w:r>
          </w:p>
        </w:tc>
        <w:tc>
          <w:tcPr>
            <w:tcW w:type="dxa" w:w="5616"/>
          </w:tcPr>
          <w:p>
            <w:pPr>
              <w:spacing w:after="40" w:before="40"/>
            </w:pPr>
            <w:r>
              <w:rPr>
                <w:sz w:val="19"/>
              </w:rPr>
            </w:r>
            <w:r>
              <w:rPr>
                <w:sz w:val="19"/>
              </w:rPr>
              <w:t>The question is split into primary, normalization and filter concepts</w:t>
            </w:r>
          </w:p>
        </w:tc>
        <w:tc>
          <w:tcPr>
            <w:tcW w:type="dxa" w:w="2304"/>
          </w:tcPr>
          <w:p>
            <w:pPr>
              <w:spacing w:after="40" w:before="40"/>
            </w:pPr>
            <w:r>
              <w:rPr>
                <w:sz w:val="19"/>
              </w:rPr>
            </w:r>
            <w:r>
              <w:rPr>
                <w:rFonts w:ascii="Consolas" w:hAnsi="Consolas"/>
                <w:sz w:val="19"/>
              </w:rPr>
              <w:t>gemma3:4b</w:t>
            </w:r>
          </w:p>
        </w:tc>
      </w:tr>
      <w:tr>
        <w:tc>
          <w:tcPr>
            <w:tcW w:type="dxa" w:w="1584"/>
          </w:tcPr>
          <w:p>
            <w:pPr>
              <w:spacing w:after="40" w:before="40"/>
            </w:pPr>
            <w:r>
              <w:rPr>
                <w:sz w:val="19"/>
              </w:rPr>
            </w:r>
            <w:r>
              <w:rPr>
                <w:sz w:val="19"/>
              </w:rPr>
              <w:t>Retrieve</w:t>
            </w:r>
          </w:p>
        </w:tc>
        <w:tc>
          <w:tcPr>
            <w:tcW w:type="dxa" w:w="5616"/>
          </w:tcPr>
          <w:p>
            <w:pPr>
              <w:spacing w:after="40" w:before="40"/>
            </w:pPr>
            <w:r>
              <w:rPr>
                <w:sz w:val="19"/>
              </w:rPr>
            </w:r>
            <w:r>
              <w:rPr>
                <w:sz w:val="19"/>
              </w:rPr>
              <w:t>Hybrid search over the catalog: dense vectors plus BM25, fused with Reciprocal Rank Fusion</w:t>
            </w:r>
          </w:p>
        </w:tc>
        <w:tc>
          <w:tcPr>
            <w:tcW w:type="dxa" w:w="2304"/>
          </w:tcPr>
          <w:p>
            <w:pPr>
              <w:spacing w:after="40" w:before="40"/>
            </w:pPr>
            <w:r>
              <w:rPr>
                <w:sz w:val="19"/>
              </w:rPr>
            </w:r>
            <w:r>
              <w:rPr>
                <w:rFonts w:ascii="Consolas" w:hAnsi="Consolas"/>
                <w:sz w:val="19"/>
              </w:rPr>
              <w:t>bge-base-en-v1.5</w:t>
            </w:r>
          </w:p>
        </w:tc>
      </w:tr>
      <w:tr>
        <w:tc>
          <w:tcPr>
            <w:tcW w:type="dxa" w:w="1584"/>
          </w:tcPr>
          <w:p>
            <w:pPr>
              <w:spacing w:after="40" w:before="40"/>
            </w:pPr>
            <w:r>
              <w:rPr>
                <w:sz w:val="19"/>
              </w:rPr>
            </w:r>
            <w:r>
              <w:rPr>
                <w:sz w:val="19"/>
              </w:rPr>
              <w:t>Narrow</w:t>
            </w:r>
          </w:p>
        </w:tc>
        <w:tc>
          <w:tcPr>
            <w:tcW w:type="dxa" w:w="5616"/>
          </w:tcPr>
          <w:p>
            <w:pPr>
              <w:spacing w:after="40" w:before="40"/>
            </w:pPr>
            <w:r>
              <w:rPr>
                <w:sz w:val="19"/>
              </w:rPr>
            </w:r>
            <w:r>
              <w:rPr>
                <w:sz w:val="19"/>
              </w:rPr>
              <w:t>The operation set and field set offered to the planner are cut down to what this question could plausibly need</w:t>
            </w:r>
          </w:p>
        </w:tc>
        <w:tc>
          <w:tcPr>
            <w:tcW w:type="dxa" w:w="2304"/>
          </w:tcPr>
          <w:p>
            <w:pPr>
              <w:spacing w:after="40" w:before="40"/>
            </w:pPr>
            <w:r>
              <w:rPr>
                <w:sz w:val="19"/>
              </w:rPr>
            </w:r>
            <w:r>
              <w:rPr>
                <w:rFonts w:ascii="Consolas" w:hAnsi="Consolas"/>
                <w:sz w:val="19"/>
              </w:rPr>
              <w:t>schemas.js</w:t>
            </w:r>
          </w:p>
        </w:tc>
      </w:tr>
      <w:tr>
        <w:tc>
          <w:tcPr>
            <w:tcW w:type="dxa" w:w="1584"/>
          </w:tcPr>
          <w:p>
            <w:pPr>
              <w:spacing w:after="40" w:before="40"/>
            </w:pPr>
            <w:r>
              <w:rPr>
                <w:sz w:val="19"/>
              </w:rPr>
            </w:r>
            <w:r>
              <w:rPr>
                <w:sz w:val="19"/>
              </w:rPr>
              <w:t>Plan</w:t>
            </w:r>
          </w:p>
        </w:tc>
        <w:tc>
          <w:tcPr>
            <w:tcW w:type="dxa" w:w="5616"/>
          </w:tcPr>
          <w:p>
            <w:pPr>
              <w:spacing w:after="40" w:before="40"/>
            </w:pPr>
            <w:r>
              <w:rPr>
                <w:sz w:val="19"/>
              </w:rPr>
            </w:r>
            <w:r>
              <w:rPr>
                <w:sz w:val="19"/>
              </w:rPr>
              <w:t>A JSON plan is generated under a schema constraint, then validated, repaired and retried up to three times</w:t>
            </w:r>
          </w:p>
        </w:tc>
        <w:tc>
          <w:tcPr>
            <w:tcW w:type="dxa" w:w="2304"/>
          </w:tcPr>
          <w:p>
            <w:pPr>
              <w:spacing w:after="40" w:before="40"/>
            </w:pPr>
            <w:r>
              <w:rPr>
                <w:sz w:val="19"/>
              </w:rPr>
            </w:r>
            <w:r>
              <w:rPr>
                <w:rFonts w:ascii="Consolas" w:hAnsi="Consolas"/>
                <w:sz w:val="19"/>
              </w:rPr>
              <w:t>qwen3:14b</w:t>
            </w:r>
          </w:p>
        </w:tc>
      </w:tr>
      <w:tr>
        <w:tc>
          <w:tcPr>
            <w:tcW w:type="dxa" w:w="1584"/>
          </w:tcPr>
          <w:p>
            <w:pPr>
              <w:spacing w:after="40" w:before="40"/>
            </w:pPr>
            <w:r>
              <w:rPr>
                <w:sz w:val="19"/>
              </w:rPr>
            </w:r>
            <w:r>
              <w:rPr>
                <w:sz w:val="19"/>
              </w:rPr>
              <w:t>Compile</w:t>
            </w:r>
          </w:p>
        </w:tc>
        <w:tc>
          <w:tcPr>
            <w:tcW w:type="dxa" w:w="5616"/>
          </w:tcPr>
          <w:p>
            <w:pPr>
              <w:spacing w:after="40" w:before="40"/>
            </w:pPr>
            <w:r>
              <w:rPr>
                <w:sz w:val="19"/>
              </w:rPr>
            </w:r>
            <w:r>
              <w:rPr>
                <w:sz w:val="19"/>
              </w:rPr>
              <w:t>The plan is turned into SQL by deterministic code</w:t>
            </w:r>
          </w:p>
        </w:tc>
        <w:tc>
          <w:tcPr>
            <w:tcW w:type="dxa" w:w="2304"/>
          </w:tcPr>
          <w:p>
            <w:pPr>
              <w:spacing w:after="40" w:before="40"/>
            </w:pPr>
            <w:r>
              <w:rPr>
                <w:sz w:val="19"/>
              </w:rPr>
            </w:r>
            <w:r>
              <w:rPr>
                <w:rFonts w:ascii="Consolas" w:hAnsi="Consolas"/>
                <w:sz w:val="19"/>
              </w:rPr>
              <w:t>compile.js</w:t>
            </w:r>
          </w:p>
        </w:tc>
      </w:tr>
      <w:tr>
        <w:tc>
          <w:tcPr>
            <w:tcW w:type="dxa" w:w="1584"/>
          </w:tcPr>
          <w:p>
            <w:pPr>
              <w:spacing w:after="40" w:before="40"/>
            </w:pPr>
            <w:r>
              <w:rPr>
                <w:sz w:val="19"/>
              </w:rPr>
            </w:r>
            <w:r>
              <w:rPr>
                <w:sz w:val="19"/>
              </w:rPr>
              <w:t>Execute and present</w:t>
            </w:r>
          </w:p>
        </w:tc>
        <w:tc>
          <w:tcPr>
            <w:tcW w:type="dxa" w:w="5616"/>
          </w:tcPr>
          <w:p>
            <w:pPr>
              <w:spacing w:after="40" w:before="40"/>
            </w:pPr>
            <w:r>
              <w:rPr>
                <w:sz w:val="19"/>
              </w:rPr>
            </w:r>
            <w:r>
              <w:rPr>
                <w:sz w:val="19"/>
              </w:rPr>
              <w:t>PostGIS runs the query; the result is mapped, reported and exported with provenance</w:t>
            </w:r>
          </w:p>
        </w:tc>
        <w:tc>
          <w:tcPr>
            <w:tcW w:type="dxa" w:w="2304"/>
          </w:tcPr>
          <w:p>
            <w:pPr>
              <w:spacing w:after="40" w:before="40"/>
            </w:pPr>
            <w:r>
              <w:rPr>
                <w:sz w:val="19"/>
              </w:rPr>
            </w:r>
            <w:r>
              <w:rPr>
                <w:sz w:val="19"/>
              </w:rPr>
              <w:t>PostGIS, React</w:t>
            </w:r>
          </w:p>
        </w:tc>
      </w:tr>
    </w:tbl>
    <w:p>
      <w:pPr>
        <w:spacing w:after="40"/>
      </w:pPr>
    </w:p>
    <w:p>
      <w:pPr>
        <w:pStyle w:val="Heading2"/>
      </w:pPr>
      <w:r>
        <w:t>The one design decision everything else rests on</w:t>
      </w:r>
    </w:p>
    <w:p>
      <w:r>
        <w:rPr>
          <w:b/>
        </w:rPr>
        <w:t>The model never writes SQL.</w:t>
      </w:r>
      <w:r>
        <w:t xml:space="preserve"> It emits a plan in a closed vocabulary of 13 operations, and a compiler turns that plan into SQL. Every identifier the model cites must be one a retrieval tool actually returned, which the validator enforces.</w:t>
      </w:r>
    </w:p>
    <w:p>
      <w:r>
        <w:t>This costs expressiveness and buys three things that matter for a system that will be exposed to the public web: injection is structurally impossible rather than filtered for; a failure is a rejected plan rather than a wrong answer that looks right; and the plan is a readable artifact that can be shown to the user and shipped with the data.</w:t>
      </w:r>
    </w:p>
    <w:p>
      <w:pPr>
        <w:pStyle w:val="Heading2"/>
      </w:pPr>
      <w:r>
        <w:t>Deterministic repair beats asking the model again</w:t>
      </w:r>
    </w:p>
    <w:p>
      <w:r>
        <w:t xml:space="preserve">Six corrections are now applied in code rather than by re-prompting. The reason is measured: at temperature 0.1 the repair loop re-emitted an </w:t>
      </w:r>
      <w:r>
        <w:rPr>
          <w:b/>
        </w:rPr>
        <w:t>identical invalid plan on all three attempts</w:t>
      </w:r>
      <w:r>
        <w:t>. If a mistake is decidable, deciding it in code is both cheaper and reliable.</w:t>
      </w:r>
    </w:p>
    <w:p>
      <w:pPr>
        <w:pStyle w:val="ListBullet"/>
        <w:spacing w:after="60"/>
        <w:ind w:left="360"/>
      </w:pPr>
      <w:r>
        <w:rPr>
          <w:rFonts w:ascii="Consolas" w:hAnsi="Consolas"/>
          <w:sz w:val="19"/>
        </w:rPr>
        <w:t>applyImpliedState</w:t>
      </w:r>
      <w:r>
        <w:t>, adds the state when the question named one and the planner dropped it. Without it, "the Springfield, Missouri area" returned 24 counties across Virginia, Nebraska and Illinois.</w:t>
      </w:r>
    </w:p>
    <w:p>
      <w:pPr>
        <w:pStyle w:val="ListBullet"/>
        <w:spacing w:after="60"/>
        <w:ind w:left="360"/>
      </w:pPr>
      <w:r>
        <w:rPr>
          <w:rFonts w:ascii="Consolas" w:hAnsi="Consolas"/>
          <w:sz w:val="19"/>
        </w:rPr>
        <w:t>repairStates</w:t>
      </w:r>
      <w:r>
        <w:t>, deduplicates a state list and replaces it when the question names one census region and the plan reaches outside it. "Counties in the South" produced 38 entries spanning three regions, with New York and New Jersey listed twice.</w:t>
      </w:r>
    </w:p>
    <w:p>
      <w:pPr>
        <w:pStyle w:val="ListBullet"/>
        <w:spacing w:after="60"/>
        <w:ind w:left="360"/>
      </w:pPr>
      <w:r>
        <w:rPr>
          <w:rFonts w:ascii="Consolas" w:hAnsi="Consolas"/>
          <w:sz w:val="19"/>
        </w:rPr>
        <w:t>repairPlaceKind</w:t>
      </w:r>
      <w:r>
        <w:t>, forces a ZIP-code lookup when the name is five digits. The model planned a search of 32,642 city names for one called "63101".</w:t>
      </w:r>
    </w:p>
    <w:p>
      <w:pPr>
        <w:pStyle w:val="ListBullet"/>
        <w:spacing w:after="60"/>
        <w:ind w:left="360"/>
      </w:pPr>
      <w:r>
        <w:rPr>
          <w:rFonts w:ascii="Consolas" w:hAnsi="Consolas"/>
          <w:sz w:val="19"/>
        </w:rPr>
        <w:t>sanitizeCity</w:t>
      </w:r>
      <w:r>
        <w:t xml:space="preserve">, truncates decoder leakage in the one free-text field a plan has. About half of runs emitted </w:t>
      </w:r>
      <w:r>
        <w:rPr>
          <w:rFonts w:ascii="Consolas" w:hAnsi="Consolas"/>
          <w:sz w:val="19"/>
        </w:rPr>
        <w:t>"Springfield','states':['Missouri']"</w:t>
      </w:r>
      <w:r>
        <w:t>, which is valid JSON, compiles cleanly, and matches nothing.</w:t>
      </w:r>
    </w:p>
    <w:p>
      <w:pPr>
        <w:pStyle w:val="ListBullet"/>
        <w:spacing w:after="60"/>
        <w:ind w:left="360"/>
      </w:pPr>
      <w:r>
        <w:rPr>
          <w:rFonts w:ascii="Consolas" w:hAnsi="Consolas"/>
          <w:sz w:val="19"/>
        </w:rPr>
        <w:t>dropUnaskedFilters</w:t>
      </w:r>
      <w:r>
        <w:t xml:space="preserve"> and </w:t>
      </w:r>
      <w:r>
        <w:rPr>
          <w:rFonts w:ascii="Consolas" w:hAnsi="Consolas"/>
          <w:sz w:val="19"/>
        </w:rPr>
        <w:t>dropUnsupportedFilters</w:t>
      </w:r>
      <w:r>
        <w:t>, remove attribute filters the question never asked for or the layer cannot support.</w:t>
      </w:r>
    </w:p>
    <w:p>
      <w:pPr>
        <w:pStyle w:val="Heading1"/>
      </w:pPr>
      <w:r>
        <w:t>How progress is measured, and why that took work</w:t>
      </w:r>
    </w:p>
    <w:p>
      <w:r>
        <w:t xml:space="preserve">This project produced one confidently wrong conclusion early on: an experiment "showed" that descriptive tags did not affect retrieval. The metric being used could not have detected the effect, and the experiment had silently never run against a fresh cache. Re-measured properly, </w:t>
      </w:r>
      <w:r>
        <w:rPr>
          <w:b/>
        </w:rPr>
        <w:t>removing tags costs 41.7 percentage points of known-item accuracy</w:t>
      </w:r>
      <w:r>
        <w:t xml:space="preserve"> (91.7% to 50.0%).</w:t>
      </w:r>
    </w:p>
    <w:p>
      <w:r>
        <w:t xml:space="preserve">The lesson shaped everything since: a metric that does not move is not evidence of no effect until you have shown the metric </w:t>
      </w:r>
      <w:r>
        <w:rPr>
          <w:i/>
        </w:rPr>
        <w:t>can</w:t>
      </w:r>
      <w:r>
        <w:t xml:space="preserve"> move. There are now four instruments, each with a stated blind spot.</w:t>
      </w:r>
    </w:p>
    <w:tbl>
      <w:tblPr>
        <w:tblStyle w:val="TableGrid"/>
        <w:tblW w:type="auto" w:w="0"/>
        <w:jc w:val="left"/>
        <w:tblLayout w:type="fixed"/>
        <w:tblLook w:firstColumn="1" w:firstRow="1" w:lastColumn="0" w:lastRow="0" w:noHBand="0" w:noVBand="1" w:val="04A0"/>
      </w:tblPr>
      <w:tblGrid>
        <w:gridCol w:w="3168"/>
        <w:gridCol w:w="3168"/>
        <w:gridCol w:w="3168"/>
      </w:tblGrid>
      <w:tr>
        <w:tc>
          <w:tcPr>
            <w:tcW w:type="dxa" w:w="1800"/>
            <w:shd w:val="clear" w:fill="EDF1F6"/>
          </w:tcPr>
          <w:p>
            <w:pPr>
              <w:spacing w:after="40" w:before="40"/>
            </w:pPr>
            <w:r/>
            <w:r>
              <w:rPr>
                <w:b/>
                <w:sz w:val="19"/>
              </w:rPr>
              <w:t>Instrument</w:t>
            </w:r>
          </w:p>
        </w:tc>
        <w:tc>
          <w:tcPr>
            <w:tcW w:type="dxa" w:w="3024"/>
            <w:shd w:val="clear" w:fill="EDF1F6"/>
          </w:tcPr>
          <w:p>
            <w:pPr>
              <w:spacing w:after="40" w:before="40"/>
            </w:pPr>
            <w:r/>
            <w:r>
              <w:rPr>
                <w:b/>
                <w:sz w:val="19"/>
              </w:rPr>
              <w:t>What it can see</w:t>
            </w:r>
          </w:p>
        </w:tc>
        <w:tc>
          <w:tcPr>
            <w:tcW w:type="dxa" w:w="4680"/>
            <w:shd w:val="clear" w:fill="EDF1F6"/>
          </w:tcPr>
          <w:p>
            <w:pPr>
              <w:spacing w:after="40" w:before="40"/>
            </w:pPr>
            <w:r/>
            <w:r>
              <w:rPr>
                <w:b/>
                <w:sz w:val="19"/>
              </w:rPr>
              <w:t>What it cannot see</w:t>
            </w:r>
          </w:p>
        </w:tc>
      </w:tr>
      <w:tr>
        <w:tc>
          <w:tcPr>
            <w:tcW w:type="dxa" w:w="1800"/>
          </w:tcPr>
          <w:p>
            <w:pPr>
              <w:spacing w:after="40" w:before="40"/>
            </w:pPr>
            <w:r>
              <w:rPr>
                <w:sz w:val="19"/>
              </w:rPr>
            </w:r>
            <w:r>
              <w:rPr>
                <w:rFonts w:ascii="Consolas" w:hAnsi="Consolas"/>
                <w:sz w:val="19"/>
              </w:rPr>
              <w:t>queries.yaml</w:t>
            </w:r>
          </w:p>
        </w:tc>
        <w:tc>
          <w:tcPr>
            <w:tcW w:type="dxa" w:w="3024"/>
          </w:tcPr>
          <w:p>
            <w:pPr>
              <w:spacing w:after="40" w:before="40"/>
            </w:pPr>
            <w:r>
              <w:rPr>
                <w:sz w:val="19"/>
              </w:rPr>
            </w:r>
            <w:r>
              <w:rPr>
                <w:sz w:val="19"/>
              </w:rPr>
              <w:t>Concept coverage across 37 queries</w:t>
            </w:r>
          </w:p>
        </w:tc>
        <w:tc>
          <w:tcPr>
            <w:tcW w:type="dxa" w:w="4680"/>
          </w:tcPr>
          <w:p>
            <w:pPr>
              <w:spacing w:after="40" w:before="40"/>
            </w:pPr>
            <w:r>
              <w:rPr>
                <w:sz w:val="19"/>
              </w:rPr>
            </w:r>
            <w:r>
              <w:rPr>
                <w:sz w:val="19"/>
              </w:rPr>
              <w:t>Ranking changes. Its assertions are satisfied by hundreds of rows. Regression guard only.</w:t>
            </w:r>
          </w:p>
        </w:tc>
      </w:tr>
      <w:tr>
        <w:tc>
          <w:tcPr>
            <w:tcW w:type="dxa" w:w="1800"/>
          </w:tcPr>
          <w:p>
            <w:pPr>
              <w:spacing w:after="40" w:before="40"/>
            </w:pPr>
            <w:r>
              <w:rPr>
                <w:sz w:val="19"/>
              </w:rPr>
            </w:r>
            <w:r>
              <w:rPr>
                <w:rFonts w:ascii="Consolas" w:hAnsi="Consolas"/>
                <w:sz w:val="19"/>
              </w:rPr>
              <w:t>known_item.yaml</w:t>
            </w:r>
          </w:p>
        </w:tc>
        <w:tc>
          <w:tcPr>
            <w:tcW w:type="dxa" w:w="3024"/>
          </w:tcPr>
          <w:p>
            <w:pPr>
              <w:spacing w:after="40" w:before="40"/>
            </w:pPr>
            <w:r>
              <w:rPr>
                <w:sz w:val="19"/>
              </w:rPr>
            </w:r>
            <w:r>
              <w:rPr>
                <w:sz w:val="19"/>
              </w:rPr>
              <w:t>The rank of one specific attribute</w:t>
            </w:r>
          </w:p>
        </w:tc>
        <w:tc>
          <w:tcPr>
            <w:tcW w:type="dxa" w:w="4680"/>
          </w:tcPr>
          <w:p>
            <w:pPr>
              <w:spacing w:after="40" w:before="40"/>
            </w:pPr>
            <w:r>
              <w:rPr>
                <w:sz w:val="19"/>
              </w:rPr>
            </w:r>
            <w:r>
              <w:rPr>
                <w:sz w:val="19"/>
              </w:rPr>
              <w:t>Broad coverage. This is the sensitive instrument for retrieval.</w:t>
            </w:r>
          </w:p>
        </w:tc>
      </w:tr>
      <w:tr>
        <w:tc>
          <w:tcPr>
            <w:tcW w:type="dxa" w:w="1800"/>
          </w:tcPr>
          <w:p>
            <w:pPr>
              <w:spacing w:after="40" w:before="40"/>
            </w:pPr>
            <w:r>
              <w:rPr>
                <w:sz w:val="19"/>
              </w:rPr>
            </w:r>
            <w:r>
              <w:rPr>
                <w:rFonts w:ascii="Consolas" w:hAnsi="Consolas"/>
                <w:sz w:val="19"/>
              </w:rPr>
              <w:t>--endpoint analyze</w:t>
            </w:r>
          </w:p>
        </w:tc>
        <w:tc>
          <w:tcPr>
            <w:tcW w:type="dxa" w:w="3024"/>
          </w:tcPr>
          <w:p>
            <w:pPr>
              <w:spacing w:after="40" w:before="40"/>
            </w:pPr>
            <w:r>
              <w:rPr>
                <w:sz w:val="19"/>
              </w:rPr>
            </w:r>
            <w:r>
              <w:rPr>
                <w:sz w:val="19"/>
              </w:rPr>
              <w:t>Whether a plan came back and ran</w:t>
            </w:r>
          </w:p>
        </w:tc>
        <w:tc>
          <w:tcPr>
            <w:tcW w:type="dxa" w:w="4680"/>
          </w:tcPr>
          <w:p>
            <w:pPr>
              <w:spacing w:after="40" w:before="40"/>
            </w:pPr>
            <w:r>
              <w:rPr>
                <w:sz w:val="19"/>
              </w:rPr>
            </w:r>
            <w:r>
              <w:rPr>
                <w:sz w:val="19"/>
              </w:rPr>
              <w:t>Whether the plan answers the question. A plan dividing non-veterans-above-poverty by "Moved in 2015 to 2016" scores a full success.</w:t>
            </w:r>
          </w:p>
        </w:tc>
      </w:tr>
      <w:tr>
        <w:tc>
          <w:tcPr>
            <w:tcW w:type="dxa" w:w="1800"/>
          </w:tcPr>
          <w:p>
            <w:pPr>
              <w:spacing w:after="40" w:before="40"/>
            </w:pPr>
            <w:r>
              <w:rPr>
                <w:sz w:val="19"/>
              </w:rPr>
            </w:r>
            <w:r>
              <w:rPr>
                <w:rFonts w:ascii="Consolas" w:hAnsi="Consolas"/>
                <w:sz w:val="19"/>
              </w:rPr>
              <w:t>plan_probe.py</w:t>
            </w:r>
          </w:p>
        </w:tc>
        <w:tc>
          <w:tcPr>
            <w:tcW w:type="dxa" w:w="3024"/>
          </w:tcPr>
          <w:p>
            <w:pPr>
              <w:spacing w:after="40" w:before="40"/>
            </w:pPr>
            <w:r>
              <w:rPr>
                <w:sz w:val="19"/>
              </w:rPr>
            </w:r>
            <w:r>
              <w:rPr>
                <w:sz w:val="19"/>
              </w:rPr>
              <w:t>Whether the required operation is present, and whether a forbidden one is</w:t>
            </w:r>
          </w:p>
        </w:tc>
        <w:tc>
          <w:tcPr>
            <w:tcW w:type="dxa" w:w="4680"/>
          </w:tcPr>
          <w:p>
            <w:pPr>
              <w:spacing w:after="40" w:before="40"/>
            </w:pPr>
            <w:r>
              <w:rPr>
                <w:sz w:val="19"/>
              </w:rPr>
            </w:r>
            <w:r>
              <w:rPr>
                <w:sz w:val="19"/>
              </w:rPr>
              <w:t>Semantic attribute choice. It records the chosen attributes so a reader can check, but does not score them.</w:t>
            </w:r>
          </w:p>
        </w:tc>
      </w:tr>
    </w:tbl>
    <w:p>
      <w:pPr>
        <w:spacing w:after="40"/>
      </w:pPr>
    </w:p>
    <w:p>
      <w:r>
        <w:t xml:space="preserve">The gap between the third and fourth rows is the whole argument. On one run, </w:t>
      </w:r>
      <w:r>
        <w:rPr>
          <w:rFonts w:ascii="Consolas" w:hAnsi="Consolas"/>
          <w:sz w:val="19"/>
        </w:rPr>
        <w:t>--endpoint analyze</w:t>
      </w:r>
      <w:r>
        <w:t xml:space="preserve"> reported </w:t>
      </w:r>
      <w:r>
        <w:rPr>
          <w:b/>
        </w:rPr>
        <w:t>87.5% plan validity</w:t>
      </w:r>
      <w:r>
        <w:t xml:space="preserve"> while the plan probe showed the planner had answered seven of eight different questions with the </w:t>
      </w:r>
      <w:r>
        <w:rPr>
          <w:b/>
        </w:rPr>
        <w:t>same operation sequence</w:t>
      </w:r>
      <w:r>
        <w:t>, copied from a worked example in its prompt.</w:t>
      </w:r>
    </w:p>
    <w:p>
      <w:pPr>
        <w:pStyle w:val="Heading2"/>
      </w:pPr>
      <w:r>
        <w:t>The failure mode that keeps recurring</w:t>
      </w:r>
    </w:p>
    <w:p>
      <w:r>
        <w:t xml:space="preserve">Nearly every serious defect found in this project has been of one kind: </w:t>
      </w:r>
      <w:r>
        <w:rPr>
          <w:b/>
        </w:rPr>
        <w:t>valid, executable, and wrong</w:t>
      </w:r>
      <w:r>
        <w:t>. A plan that passes schema validation, passes grounding, compiles, runs, returns rows, and answers a different question than the one asked. None were caught by validity metrics. All were caught by measuring something else or by looking at the output.</w:t>
      </w:r>
    </w:p>
    <w:tbl>
      <w:tblPr>
        <w:tblStyle w:val="TableGrid"/>
        <w:tblW w:type="auto" w:w="0"/>
        <w:jc w:val="left"/>
        <w:tblLayout w:type="fixed"/>
        <w:tblLook w:firstColumn="1" w:firstRow="1" w:lastColumn="0" w:lastRow="0" w:noHBand="0" w:noVBand="1" w:val="04A0"/>
      </w:tblPr>
      <w:tblGrid>
        <w:gridCol w:w="4752"/>
        <w:gridCol w:w="4752"/>
      </w:tblGrid>
      <w:tr>
        <w:tc>
          <w:tcPr>
            <w:tcW w:type="dxa" w:w="3312"/>
            <w:shd w:val="clear" w:fill="EDF1F6"/>
          </w:tcPr>
          <w:p>
            <w:pPr>
              <w:spacing w:after="40" w:before="40"/>
            </w:pPr>
            <w:r/>
            <w:r>
              <w:rPr>
                <w:b/>
                <w:sz w:val="19"/>
              </w:rPr>
              <w:t>What it looked like</w:t>
            </w:r>
          </w:p>
        </w:tc>
        <w:tc>
          <w:tcPr>
            <w:tcW w:type="dxa" w:w="6192"/>
            <w:shd w:val="clear" w:fill="EDF1F6"/>
          </w:tcPr>
          <w:p>
            <w:pPr>
              <w:spacing w:after="40" w:before="40"/>
            </w:pPr>
            <w:r/>
            <w:r>
              <w:rPr>
                <w:b/>
                <w:sz w:val="19"/>
              </w:rPr>
              <w:t>What was actually happening</w:t>
            </w:r>
          </w:p>
        </w:tc>
      </w:tr>
      <w:tr>
        <w:tc>
          <w:tcPr>
            <w:tcW w:type="dxa" w:w="3312"/>
          </w:tcPr>
          <w:p>
            <w:pPr>
              <w:spacing w:after="40" w:before="40"/>
            </w:pPr>
            <w:r>
              <w:rPr>
                <w:sz w:val="19"/>
              </w:rPr>
            </w:r>
            <w:r>
              <w:rPr>
                <w:sz w:val="19"/>
              </w:rPr>
              <w:t>87.5% plan validity, plans validated on the first attempt</w:t>
            </w:r>
          </w:p>
        </w:tc>
        <w:tc>
          <w:tcPr>
            <w:tcW w:type="dxa" w:w="6192"/>
          </w:tcPr>
          <w:p>
            <w:pPr>
              <w:spacing w:after="40" w:before="40"/>
            </w:pPr>
            <w:r>
              <w:rPr>
                <w:sz w:val="19"/>
              </w:rPr>
            </w:r>
            <w:r>
              <w:rPr>
                <w:sz w:val="19"/>
              </w:rPr>
              <w:t xml:space="preserve">The planner had </w:t>
            </w:r>
            <w:r>
              <w:rPr>
                <w:b/>
                <w:sz w:val="19"/>
              </w:rPr>
              <w:t>never received the question</w:t>
            </w:r>
            <w:r>
              <w:rPr>
                <w:sz w:val="19"/>
              </w:rPr>
              <w:t>. A function accepted a user prompt argument and never sent it, so the model was working from its instructions and examples alone. "How many hospitals are in each county" planned a count over oil and gas wells.</w:t>
            </w:r>
          </w:p>
        </w:tc>
      </w:tr>
      <w:tr>
        <w:tc>
          <w:tcPr>
            <w:tcW w:type="dxa" w:w="3312"/>
          </w:tcPr>
          <w:p>
            <w:pPr>
              <w:spacing w:after="40" w:before="40"/>
            </w:pPr>
            <w:r>
              <w:rPr>
                <w:sz w:val="19"/>
              </w:rPr>
            </w:r>
            <w:r>
              <w:rPr>
                <w:sz w:val="19"/>
              </w:rPr>
              <w:t>A working distance query, correctly labelled "nearest hospital"</w:t>
            </w:r>
          </w:p>
        </w:tc>
        <w:tc>
          <w:tcPr>
            <w:tcW w:type="dxa" w:w="6192"/>
          </w:tcPr>
          <w:p>
            <w:pPr>
              <w:spacing w:after="40" w:before="40"/>
            </w:pPr>
            <w:r>
              <w:rPr>
                <w:sz w:val="19"/>
              </w:rPr>
            </w:r>
            <w:r>
              <w:rPr>
                <w:sz w:val="19"/>
              </w:rPr>
              <w:t xml:space="preserve">A per-query cap on facility datasets was filled first-come, so Hospitals ranked 1st for its own sub-query but 19th after merging. It never reached the planner, which measured distance to </w:t>
            </w:r>
            <w:r>
              <w:rPr>
                <w:b/>
                <w:sz w:val="19"/>
              </w:rPr>
              <w:t>Major Sport Venues</w:t>
            </w:r>
            <w:r>
              <w:rPr>
                <w:sz w:val="19"/>
              </w:rPr>
              <w:t>.</w:t>
            </w:r>
          </w:p>
        </w:tc>
      </w:tr>
      <w:tr>
        <w:tc>
          <w:tcPr>
            <w:tcW w:type="dxa" w:w="3312"/>
          </w:tcPr>
          <w:p>
            <w:pPr>
              <w:spacing w:after="40" w:before="40"/>
            </w:pPr>
            <w:r>
              <w:rPr>
                <w:sz w:val="19"/>
              </w:rPr>
            </w:r>
            <w:r>
              <w:rPr>
                <w:sz w:val="19"/>
              </w:rPr>
              <w:t>A clean comparison of income against education</w:t>
            </w:r>
          </w:p>
        </w:tc>
        <w:tc>
          <w:tcPr>
            <w:tcW w:type="dxa" w:w="6192"/>
          </w:tcPr>
          <w:p>
            <w:pPr>
              <w:spacing w:after="40" w:before="40"/>
            </w:pPr>
            <w:r>
              <w:rPr>
                <w:sz w:val="19"/>
              </w:rPr>
            </w:r>
            <w:r>
              <w:rPr>
                <w:sz w:val="19"/>
              </w:rPr>
              <w:t>A candidate quota was allocated per purpose rather than per concept, so income filled all ten slots and the planner was correctly told, given what it was shown, that educational attainment did not exist.</w:t>
            </w:r>
          </w:p>
        </w:tc>
      </w:tr>
      <w:tr>
        <w:tc>
          <w:tcPr>
            <w:tcW w:type="dxa" w:w="3312"/>
          </w:tcPr>
          <w:p>
            <w:pPr>
              <w:spacing w:after="40" w:before="40"/>
            </w:pPr>
            <w:r>
              <w:rPr>
                <w:sz w:val="19"/>
              </w:rPr>
            </w:r>
            <w:r>
              <w:rPr>
                <w:sz w:val="19"/>
              </w:rPr>
              <w:t>A valid query returning zero rows</w:t>
            </w:r>
          </w:p>
        </w:tc>
        <w:tc>
          <w:tcPr>
            <w:tcW w:type="dxa" w:w="6192"/>
          </w:tcPr>
          <w:p>
            <w:pPr>
              <w:spacing w:after="40" w:before="40"/>
            </w:pPr>
            <w:r>
              <w:rPr>
                <w:sz w:val="19"/>
              </w:rPr>
            </w:r>
            <w:r>
              <w:rPr>
                <w:sz w:val="19"/>
              </w:rPr>
              <w:t xml:space="preserve">339 of 3,596 census attributes were listed as available but held no values. Availability had been derived from the codes the source file </w:t>
            </w:r>
            <w:r>
              <w:rPr>
                <w:i/>
                <w:sz w:val="19"/>
              </w:rPr>
              <w:t>declares</w:t>
            </w:r>
            <w:r>
              <w:rPr>
                <w:sz w:val="19"/>
              </w:rPr>
              <w:t xml:space="preserve"> rather than the codes that carry data.</w:t>
            </w:r>
          </w:p>
        </w:tc>
      </w:tr>
      <w:tr>
        <w:tc>
          <w:tcPr>
            <w:tcW w:type="dxa" w:w="3312"/>
          </w:tcPr>
          <w:p>
            <w:pPr>
              <w:spacing w:after="40" w:before="40"/>
            </w:pPr>
            <w:r>
              <w:rPr>
                <w:sz w:val="19"/>
              </w:rPr>
            </w:r>
            <w:r>
              <w:rPr>
                <w:sz w:val="19"/>
              </w:rPr>
              <w:t>A map of 13 counties for a metro area</w:t>
            </w:r>
          </w:p>
        </w:tc>
        <w:tc>
          <w:tcPr>
            <w:tcW w:type="dxa" w:w="6192"/>
          </w:tcPr>
          <w:p>
            <w:pPr>
              <w:spacing w:after="40" w:before="40"/>
            </w:pPr>
            <w:r>
              <w:rPr>
                <w:sz w:val="19"/>
              </w:rPr>
            </w:r>
            <w:r>
              <w:rPr>
                <w:sz w:val="19"/>
              </w:rPr>
              <w:t xml:space="preserve">Plain geometric intersection returned </w:t>
            </w:r>
            <w:r>
              <w:rPr>
                <w:b/>
                <w:sz w:val="19"/>
              </w:rPr>
              <w:t>27</w:t>
            </w:r>
            <w:r>
              <w:rPr>
                <w:sz w:val="19"/>
              </w:rPr>
              <w:t>, because the metro and county layers are drawn at different generalizations and every neighbour clips in by a few metres.</w:t>
            </w:r>
          </w:p>
        </w:tc>
      </w:tr>
    </w:tbl>
    <w:p>
      <w:pPr>
        <w:spacing w:after="40"/>
      </w:pPr>
    </w:p>
    <w:p>
      <w:pPr>
        <w:spacing w:before="40" w:after="180"/>
        <w:ind w:left="317"/>
      </w:pPr>
      <w:r>
        <w:rPr>
          <w:color w:val="5F5F5C"/>
          <w:sz w:val="19"/>
        </w:rPr>
        <w:t>Fixing the first row alone moved operation appropriateness from 50.0% to 87.5% with the model and prompt held constant. It also invalidated a model comparison that had already been recorded, so that comparison was retracted rather than quietly deleted.</w:t>
      </w:r>
    </w:p>
    <w:p>
      <w:pPr>
        <w:pStyle w:val="Heading1"/>
      </w:pPr>
      <w:r>
        <w:t>What data is loaded</w:t>
      </w:r>
    </w:p>
    <w:tbl>
      <w:tblPr>
        <w:tblStyle w:val="TableGrid"/>
        <w:tblW w:type="auto" w:w="0"/>
        <w:jc w:val="left"/>
        <w:tblLayout w:type="fixed"/>
        <w:tblLook w:firstColumn="1" w:firstRow="1" w:lastColumn="0" w:lastRow="0" w:noHBand="0" w:noVBand="1" w:val="04A0"/>
      </w:tblPr>
      <w:tblGrid>
        <w:gridCol w:w="3168"/>
        <w:gridCol w:w="3168"/>
        <w:gridCol w:w="3168"/>
      </w:tblGrid>
      <w:tr>
        <w:tc>
          <w:tcPr>
            <w:tcW w:type="dxa" w:w="2448"/>
            <w:shd w:val="clear" w:fill="EDF1F6"/>
          </w:tcPr>
          <w:p>
            <w:pPr>
              <w:spacing w:after="40" w:before="40"/>
            </w:pPr>
            <w:r/>
            <w:r>
              <w:rPr>
                <w:b/>
                <w:sz w:val="19"/>
              </w:rPr>
              <w:t>Layer</w:t>
            </w:r>
          </w:p>
        </w:tc>
        <w:tc>
          <w:tcPr>
            <w:tcW w:type="dxa" w:w="1296"/>
            <w:shd w:val="clear" w:fill="EDF1F6"/>
          </w:tcPr>
          <w:p>
            <w:pPr>
              <w:spacing w:after="40" w:before="40"/>
            </w:pPr>
            <w:r/>
            <w:r>
              <w:rPr>
                <w:b/>
                <w:sz w:val="19"/>
              </w:rPr>
              <w:t>Count</w:t>
            </w:r>
          </w:p>
        </w:tc>
        <w:tc>
          <w:tcPr>
            <w:tcW w:type="dxa" w:w="5760"/>
            <w:shd w:val="clear" w:fill="EDF1F6"/>
          </w:tcPr>
          <w:p>
            <w:pPr>
              <w:spacing w:after="40" w:before="40"/>
            </w:pPr>
            <w:r/>
            <w:r>
              <w:rPr>
                <w:b/>
                <w:sz w:val="19"/>
              </w:rPr>
              <w:t>Detail</w:t>
            </w:r>
          </w:p>
        </w:tc>
      </w:tr>
      <w:tr>
        <w:tc>
          <w:tcPr>
            <w:tcW w:type="dxa" w:w="2448"/>
          </w:tcPr>
          <w:p>
            <w:pPr>
              <w:spacing w:after="40" w:before="40"/>
            </w:pPr>
            <w:r>
              <w:rPr>
                <w:sz w:val="19"/>
              </w:rPr>
            </w:r>
            <w:r>
              <w:rPr>
                <w:sz w:val="19"/>
              </w:rPr>
              <w:t>Catalog attributes</w:t>
            </w:r>
          </w:p>
        </w:tc>
        <w:tc>
          <w:tcPr>
            <w:tcW w:type="dxa" w:w="1296"/>
          </w:tcPr>
          <w:p>
            <w:pPr>
              <w:spacing w:after="40" w:before="40"/>
            </w:pPr>
            <w:r>
              <w:rPr>
                <w:sz w:val="19"/>
              </w:rPr>
            </w:r>
            <w:r>
              <w:rPr>
                <w:sz w:val="19"/>
              </w:rPr>
              <w:t>6,860</w:t>
            </w:r>
          </w:p>
        </w:tc>
        <w:tc>
          <w:tcPr>
            <w:tcW w:type="dxa" w:w="5760"/>
          </w:tcPr>
          <w:p>
            <w:pPr>
              <w:spacing w:after="40" w:before="40"/>
            </w:pPr>
            <w:r>
              <w:rPr>
                <w:sz w:val="19"/>
              </w:rPr>
            </w:r>
            <w:r>
              <w:rPr>
                <w:b/>
                <w:sz w:val="19"/>
              </w:rPr>
              <w:t>4,893 (71.3%) resolve to a column that holds data</w:t>
            </w:r>
          </w:p>
        </w:tc>
      </w:tr>
      <w:tr>
        <w:tc>
          <w:tcPr>
            <w:tcW w:type="dxa" w:w="2448"/>
          </w:tcPr>
          <w:p>
            <w:pPr>
              <w:spacing w:after="40" w:before="40"/>
            </w:pPr>
            <w:r>
              <w:rPr>
                <w:sz w:val="19"/>
              </w:rPr>
            </w:r>
            <w:r>
              <w:rPr>
                <w:sz w:val="19"/>
              </w:rPr>
              <w:t xml:space="preserve">  from census (ACS)</w:t>
            </w:r>
          </w:p>
        </w:tc>
        <w:tc>
          <w:tcPr>
            <w:tcW w:type="dxa" w:w="1296"/>
          </w:tcPr>
          <w:p>
            <w:pPr>
              <w:spacing w:after="40" w:before="40"/>
            </w:pPr>
            <w:r>
              <w:rPr>
                <w:sz w:val="19"/>
              </w:rPr>
            </w:r>
            <w:r>
              <w:rPr>
                <w:sz w:val="19"/>
              </w:rPr>
              <w:t>3,257</w:t>
            </w:r>
          </w:p>
        </w:tc>
        <w:tc>
          <w:tcPr>
            <w:tcW w:type="dxa" w:w="5760"/>
          </w:tcPr>
          <w:p>
            <w:pPr>
              <w:spacing w:after="40" w:before="40"/>
            </w:pPr>
            <w:r>
              <w:rPr>
                <w:sz w:val="19"/>
              </w:rPr>
            </w:r>
            <w:r>
              <w:rPr>
                <w:sz w:val="19"/>
              </w:rPr>
              <w:t>County-level, joined on FIPS code</w:t>
            </w:r>
          </w:p>
        </w:tc>
      </w:tr>
      <w:tr>
        <w:tc>
          <w:tcPr>
            <w:tcW w:type="dxa" w:w="2448"/>
          </w:tcPr>
          <w:p>
            <w:pPr>
              <w:spacing w:after="40" w:before="40"/>
            </w:pPr>
            <w:r>
              <w:rPr>
                <w:sz w:val="19"/>
              </w:rPr>
            </w:r>
            <w:r>
              <w:rPr>
                <w:sz w:val="19"/>
              </w:rPr>
              <w:t xml:space="preserve">  from facility layers</w:t>
            </w:r>
          </w:p>
        </w:tc>
        <w:tc>
          <w:tcPr>
            <w:tcW w:type="dxa" w:w="1296"/>
          </w:tcPr>
          <w:p>
            <w:pPr>
              <w:spacing w:after="40" w:before="40"/>
            </w:pPr>
            <w:r>
              <w:rPr>
                <w:sz w:val="19"/>
              </w:rPr>
            </w:r>
            <w:r>
              <w:rPr>
                <w:sz w:val="19"/>
              </w:rPr>
              <w:t>1,636</w:t>
            </w:r>
          </w:p>
        </w:tc>
        <w:tc>
          <w:tcPr>
            <w:tcW w:type="dxa" w:w="5760"/>
          </w:tcPr>
          <w:p>
            <w:pPr>
              <w:spacing w:after="40" w:before="40"/>
            </w:pPr>
            <w:r>
              <w:rPr>
                <w:sz w:val="19"/>
              </w:rPr>
            </w:r>
            <w:r>
              <w:rPr>
                <w:sz w:val="19"/>
              </w:rPr>
              <w:t>Hospitals, fire stations, power plants and similar</w:t>
            </w:r>
          </w:p>
        </w:tc>
      </w:tr>
      <w:tr>
        <w:tc>
          <w:tcPr>
            <w:tcW w:type="dxa" w:w="2448"/>
          </w:tcPr>
          <w:p>
            <w:pPr>
              <w:spacing w:after="40" w:before="40"/>
            </w:pPr>
            <w:r>
              <w:rPr>
                <w:sz w:val="19"/>
              </w:rPr>
            </w:r>
            <w:r>
              <w:rPr>
                <w:sz w:val="19"/>
              </w:rPr>
              <w:t>Spatial feature layers</w:t>
            </w:r>
          </w:p>
        </w:tc>
        <w:tc>
          <w:tcPr>
            <w:tcW w:type="dxa" w:w="1296"/>
          </w:tcPr>
          <w:p>
            <w:pPr>
              <w:spacing w:after="40" w:before="40"/>
            </w:pPr>
            <w:r>
              <w:rPr>
                <w:sz w:val="19"/>
              </w:rPr>
            </w:r>
            <w:r>
              <w:rPr>
                <w:sz w:val="19"/>
              </w:rPr>
              <w:t>69</w:t>
            </w:r>
          </w:p>
        </w:tc>
        <w:tc>
          <w:tcPr>
            <w:tcW w:type="dxa" w:w="5760"/>
          </w:tcPr>
          <w:p>
            <w:pPr>
              <w:spacing w:after="40" w:before="40"/>
            </w:pPr>
            <w:r>
              <w:rPr>
                <w:sz w:val="19"/>
              </w:rPr>
            </w:r>
            <w:r>
              <w:rPr>
                <w:sz w:val="19"/>
              </w:rPr>
              <w:t>49 point (~1.97M features), 14 polygon (~466k), 6 line (~237k). 61 reachable from the catalog.</w:t>
            </w:r>
          </w:p>
        </w:tc>
      </w:tr>
      <w:tr>
        <w:tc>
          <w:tcPr>
            <w:tcW w:type="dxa" w:w="2448"/>
          </w:tcPr>
          <w:p>
            <w:pPr>
              <w:spacing w:after="40" w:before="40"/>
            </w:pPr>
            <w:r>
              <w:rPr>
                <w:sz w:val="19"/>
              </w:rPr>
            </w:r>
            <w:r>
              <w:rPr>
                <w:sz w:val="19"/>
              </w:rPr>
              <w:t>County boundaries</w:t>
            </w:r>
          </w:p>
        </w:tc>
        <w:tc>
          <w:tcPr>
            <w:tcW w:type="dxa" w:w="1296"/>
          </w:tcPr>
          <w:p>
            <w:pPr>
              <w:spacing w:after="40" w:before="40"/>
            </w:pPr>
            <w:r>
              <w:rPr>
                <w:sz w:val="19"/>
              </w:rPr>
            </w:r>
            <w:r>
              <w:rPr>
                <w:sz w:val="19"/>
              </w:rPr>
              <w:t>3,233</w:t>
            </w:r>
          </w:p>
        </w:tc>
        <w:tc>
          <w:tcPr>
            <w:tcW w:type="dxa" w:w="5760"/>
          </w:tcPr>
          <w:p>
            <w:pPr>
              <w:spacing w:after="40" w:before="40"/>
            </w:pPr>
            <w:r>
              <w:rPr>
                <w:sz w:val="19"/>
              </w:rPr>
            </w:r>
            <w:r>
              <w:rPr>
                <w:sz w:val="19"/>
              </w:rPr>
              <w:t>The only administrative geometry until last week</w:t>
            </w:r>
          </w:p>
        </w:tc>
      </w:tr>
      <w:tr>
        <w:tc>
          <w:tcPr>
            <w:tcW w:type="dxa" w:w="2448"/>
          </w:tcPr>
          <w:p>
            <w:pPr>
              <w:spacing w:after="40" w:before="40"/>
            </w:pPr>
            <w:r>
              <w:rPr>
                <w:sz w:val="19"/>
              </w:rPr>
            </w:r>
            <w:r>
              <w:rPr>
                <w:sz w:val="19"/>
              </w:rPr>
              <w:t>Named boundaries</w:t>
            </w:r>
          </w:p>
        </w:tc>
        <w:tc>
          <w:tcPr>
            <w:tcW w:type="dxa" w:w="1296"/>
          </w:tcPr>
          <w:p>
            <w:pPr>
              <w:spacing w:after="40" w:before="40"/>
            </w:pPr>
            <w:r>
              <w:rPr>
                <w:sz w:val="19"/>
              </w:rPr>
            </w:r>
            <w:r>
              <w:rPr>
                <w:b/>
                <w:sz w:val="19"/>
              </w:rPr>
              <w:t>70,012</w:t>
            </w:r>
          </w:p>
        </w:tc>
        <w:tc>
          <w:tcPr>
            <w:tcW w:type="dxa" w:w="5760"/>
          </w:tcPr>
          <w:p>
            <w:pPr>
              <w:spacing w:after="40" w:before="40"/>
            </w:pPr>
            <w:r>
              <w:rPr>
                <w:sz w:val="19"/>
              </w:rPr>
            </w:r>
            <w:r>
              <w:rPr>
                <w:sz w:val="19"/>
              </w:rPr>
              <w:t>New. 32,642 cities and towns, 33,791 ZIP code areas, 935 metro areas, 2,644 urbanized areas</w:t>
            </w:r>
          </w:p>
        </w:tc>
      </w:tr>
    </w:tbl>
    <w:p>
      <w:pPr>
        <w:spacing w:after="40"/>
      </w:pPr>
    </w:p>
    <w:p>
      <w:r>
        <w:t>All spatial data is in a single coordinate system (SRID 4326), which removes a whole class of join errors and a measured performance trap: transforming the coordinates on the wrong side of a spatial join disables the index and turns a 3 second query into a 5 minute one.</w:t>
      </w:r>
    </w:p>
    <w:p>
      <w:pPr>
        <w:pStyle w:val="Heading2"/>
      </w:pPr>
      <w:r>
        <w:t>Named boundaries, added last week</w:t>
      </w:r>
    </w:p>
    <w:p>
      <w:r>
        <w:t>Adding the Census TIGER boundary files closed the largest structural gap. Before them, a request to restrict results to a city could not be spatial at all: it had to match a text column that only 41% of layers carry. Now:</w:t>
      </w:r>
    </w:p>
    <w:tbl>
      <w:tblPr>
        <w:tblStyle w:val="TableGrid"/>
        <w:tblW w:type="auto" w:w="0"/>
        <w:jc w:val="left"/>
        <w:tblLayout w:type="fixed"/>
        <w:tblLook w:firstColumn="1" w:firstRow="1" w:lastColumn="0" w:lastRow="0" w:noHBand="0" w:noVBand="1" w:val="04A0"/>
      </w:tblPr>
      <w:tblGrid>
        <w:gridCol w:w="3168"/>
        <w:gridCol w:w="3168"/>
        <w:gridCol w:w="3168"/>
      </w:tblGrid>
      <w:tr>
        <w:tc>
          <w:tcPr>
            <w:tcW w:type="dxa" w:w="3744"/>
            <w:shd w:val="clear" w:fill="EDF1F6"/>
          </w:tcPr>
          <w:p>
            <w:pPr>
              <w:spacing w:after="40" w:before="40"/>
            </w:pPr>
            <w:r/>
            <w:r>
              <w:rPr>
                <w:b/>
                <w:sz w:val="19"/>
              </w:rPr>
              <w:t>Question</w:t>
            </w:r>
          </w:p>
        </w:tc>
        <w:tc>
          <w:tcPr>
            <w:tcW w:type="dxa" w:w="2160"/>
            <w:shd w:val="clear" w:fill="EDF1F6"/>
          </w:tcPr>
          <w:p>
            <w:pPr>
              <w:spacing w:after="40" w:before="40"/>
            </w:pPr>
            <w:r/>
            <w:r>
              <w:rPr>
                <w:b/>
                <w:sz w:val="19"/>
              </w:rPr>
              <w:t>Result</w:t>
            </w:r>
          </w:p>
        </w:tc>
        <w:tc>
          <w:tcPr>
            <w:tcW w:type="dxa" w:w="3600"/>
            <w:shd w:val="clear" w:fill="EDF1F6"/>
          </w:tcPr>
          <w:p>
            <w:pPr>
              <w:spacing w:after="40" w:before="40"/>
            </w:pPr>
            <w:r/>
            <w:r>
              <w:rPr>
                <w:b/>
                <w:sz w:val="19"/>
              </w:rPr>
              <w:t>Check</w:t>
            </w:r>
          </w:p>
        </w:tc>
      </w:tr>
      <w:tr>
        <w:tc>
          <w:tcPr>
            <w:tcW w:type="dxa" w:w="3744"/>
          </w:tcPr>
          <w:p>
            <w:pPr>
              <w:spacing w:after="40" w:before="40"/>
            </w:pPr>
            <w:r>
              <w:rPr>
                <w:sz w:val="19"/>
              </w:rPr>
            </w:r>
            <w:r>
              <w:rPr>
                <w:sz w:val="19"/>
              </w:rPr>
              <w:t>Counties in the Chicago metro area</w:t>
            </w:r>
          </w:p>
        </w:tc>
        <w:tc>
          <w:tcPr>
            <w:tcW w:type="dxa" w:w="2160"/>
          </w:tcPr>
          <w:p>
            <w:pPr>
              <w:spacing w:after="40" w:before="40"/>
            </w:pPr>
            <w:r>
              <w:rPr>
                <w:sz w:val="19"/>
              </w:rPr>
            </w:r>
            <w:r>
              <w:rPr>
                <w:sz w:val="19"/>
              </w:rPr>
              <w:t>13 counties</w:t>
            </w:r>
          </w:p>
        </w:tc>
        <w:tc>
          <w:tcPr>
            <w:tcW w:type="dxa" w:w="3600"/>
          </w:tcPr>
          <w:p>
            <w:pPr>
              <w:spacing w:after="40" w:before="40"/>
            </w:pPr>
            <w:r>
              <w:rPr>
                <w:sz w:val="19"/>
              </w:rPr>
            </w:r>
            <w:r>
              <w:rPr>
                <w:sz w:val="19"/>
              </w:rPr>
              <w:t>Matches the official metro definition</w:t>
            </w:r>
          </w:p>
        </w:tc>
      </w:tr>
      <w:tr>
        <w:tc>
          <w:tcPr>
            <w:tcW w:type="dxa" w:w="3744"/>
          </w:tcPr>
          <w:p>
            <w:pPr>
              <w:spacing w:after="40" w:before="40"/>
            </w:pPr>
            <w:r>
              <w:rPr>
                <w:sz w:val="19"/>
              </w:rPr>
            </w:r>
            <w:r>
              <w:rPr>
                <w:sz w:val="19"/>
              </w:rPr>
              <w:t>Counties in the St. Louis metro area</w:t>
            </w:r>
          </w:p>
        </w:tc>
        <w:tc>
          <w:tcPr>
            <w:tcW w:type="dxa" w:w="2160"/>
          </w:tcPr>
          <w:p>
            <w:pPr>
              <w:spacing w:after="40" w:before="40"/>
            </w:pPr>
            <w:r>
              <w:rPr>
                <w:sz w:val="19"/>
              </w:rPr>
            </w:r>
            <w:r>
              <w:rPr>
                <w:sz w:val="19"/>
              </w:rPr>
              <w:t>15 counties</w:t>
            </w:r>
          </w:p>
        </w:tc>
        <w:tc>
          <w:tcPr>
            <w:tcW w:type="dxa" w:w="3600"/>
          </w:tcPr>
          <w:p>
            <w:pPr>
              <w:spacing w:after="40" w:before="40"/>
            </w:pPr>
            <w:r>
              <w:rPr>
                <w:sz w:val="19"/>
              </w:rPr>
            </w:r>
            <w:r>
              <w:rPr>
                <w:sz w:val="19"/>
              </w:rPr>
              <w:t>Matches the official metro definition</w:t>
            </w:r>
          </w:p>
        </w:tc>
      </w:tr>
      <w:tr>
        <w:tc>
          <w:tcPr>
            <w:tcW w:type="dxa" w:w="3744"/>
          </w:tcPr>
          <w:p>
            <w:pPr>
              <w:spacing w:after="40" w:before="40"/>
            </w:pPr>
            <w:r>
              <w:rPr>
                <w:sz w:val="19"/>
              </w:rPr>
            </w:r>
            <w:r>
              <w:rPr>
                <w:sz w:val="19"/>
              </w:rPr>
              <w:t>Counties in the Springfield, Missouri area</w:t>
            </w:r>
          </w:p>
        </w:tc>
        <w:tc>
          <w:tcPr>
            <w:tcW w:type="dxa" w:w="2160"/>
          </w:tcPr>
          <w:p>
            <w:pPr>
              <w:spacing w:after="40" w:before="40"/>
            </w:pPr>
            <w:r>
              <w:rPr>
                <w:sz w:val="19"/>
              </w:rPr>
            </w:r>
            <w:r>
              <w:rPr>
                <w:sz w:val="19"/>
              </w:rPr>
              <w:t>Greene County</w:t>
            </w:r>
          </w:p>
        </w:tc>
        <w:tc>
          <w:tcPr>
            <w:tcW w:type="dxa" w:w="3600"/>
          </w:tcPr>
          <w:p>
            <w:pPr>
              <w:spacing w:after="40" w:before="40"/>
            </w:pPr>
            <w:r>
              <w:rPr>
                <w:sz w:val="19"/>
              </w:rPr>
            </w:r>
            <w:r>
              <w:rPr>
                <w:sz w:val="19"/>
              </w:rPr>
              <w:t>Correct</w:t>
            </w:r>
          </w:p>
        </w:tc>
      </w:tr>
      <w:tr>
        <w:tc>
          <w:tcPr>
            <w:tcW w:type="dxa" w:w="3744"/>
          </w:tcPr>
          <w:p>
            <w:pPr>
              <w:spacing w:after="40" w:before="40"/>
            </w:pPr>
            <w:r>
              <w:rPr>
                <w:sz w:val="19"/>
              </w:rPr>
            </w:r>
            <w:r>
              <w:rPr>
                <w:sz w:val="19"/>
              </w:rPr>
              <w:t>Counties in ZIP code 63101</w:t>
            </w:r>
          </w:p>
        </w:tc>
        <w:tc>
          <w:tcPr>
            <w:tcW w:type="dxa" w:w="2160"/>
          </w:tcPr>
          <w:p>
            <w:pPr>
              <w:spacing w:after="40" w:before="40"/>
            </w:pPr>
            <w:r>
              <w:rPr>
                <w:sz w:val="19"/>
              </w:rPr>
            </w:r>
            <w:r>
              <w:rPr>
                <w:sz w:val="19"/>
              </w:rPr>
              <w:t>St. Louis</w:t>
            </w:r>
          </w:p>
        </w:tc>
        <w:tc>
          <w:tcPr>
            <w:tcW w:type="dxa" w:w="3600"/>
          </w:tcPr>
          <w:p>
            <w:pPr>
              <w:spacing w:after="40" w:before="40"/>
            </w:pPr>
            <w:r>
              <w:rPr>
                <w:sz w:val="19"/>
              </w:rPr>
            </w:r>
            <w:r>
              <w:rPr>
                <w:sz w:val="19"/>
              </w:rPr>
              <w:t>Correct</w:t>
            </w:r>
          </w:p>
        </w:tc>
      </w:tr>
    </w:tbl>
    <w:p>
      <w:pPr>
        <w:spacing w:after="40"/>
      </w:pPr>
    </w:p>
    <w:p>
      <w:r>
        <w:t xml:space="preserve">Three things this needed that were not obvious. The overlap test had to become </w:t>
      </w:r>
      <w:r>
        <w:rPr>
          <w:b/>
        </w:rPr>
        <w:t>more than 1% of the smaller geometry</w:t>
      </w:r>
      <w:r>
        <w:t xml:space="preserve"> rather than any intersection at all, which is size-agnostic and gives the right answer for both a large metro and a small city. Metro names are compound (Chicago is stored as "Chicago-Naperville-Elgin, IL-IN"), so exact matching on "Chicago" returned an empty answer. And the boundary archives unpack to a folder containing a folder of the same name, which makes standard tools report the download as corrupt.</w:t>
      </w:r>
    </w:p>
    <w:p>
      <w:pPr>
        <w:spacing w:before="40" w:after="180"/>
        <w:ind w:left="317"/>
      </w:pPr>
      <w:r>
        <w:rPr>
          <w:color w:val="5F5F5C"/>
          <w:sz w:val="19"/>
        </w:rPr>
        <w:t>Verified that the 1% threshold is not discarding real data: Springfield, Missouri is 99.9914% inside Greene County and 0.0086% inside Christian County. That sliver is a drafting artifact, not a municipal extension.</w:t>
      </w:r>
    </w:p>
    <w:p>
      <w:pPr>
        <w:pStyle w:val="Heading1"/>
      </w:pPr>
      <w:r>
        <w:t>What the system can answer today</w:t>
      </w:r>
    </w:p>
    <w:p>
      <w:r>
        <w:t>Thirteen operations, composable except where noted:</w:t>
      </w:r>
    </w:p>
    <w:tbl>
      <w:tblPr>
        <w:tblStyle w:val="TableGrid"/>
        <w:tblW w:type="auto" w:w="0"/>
        <w:jc w:val="left"/>
        <w:tblLayout w:type="fixed"/>
        <w:tblLook w:firstColumn="1" w:firstRow="1" w:lastColumn="0" w:lastRow="0" w:noHBand="0" w:noVBand="1" w:val="04A0"/>
      </w:tblPr>
      <w:tblGrid>
        <w:gridCol w:w="4752"/>
        <w:gridCol w:w="4752"/>
      </w:tblGrid>
      <w:tr>
        <w:tc>
          <w:tcPr>
            <w:tcW w:type="dxa" w:w="3312"/>
            <w:shd w:val="clear" w:fill="EDF1F6"/>
          </w:tcPr>
          <w:p>
            <w:pPr>
              <w:spacing w:after="40" w:before="40"/>
            </w:pPr>
            <w:r/>
            <w:r>
              <w:rPr>
                <w:b/>
                <w:sz w:val="19"/>
              </w:rPr>
              <w:t>Operation</w:t>
            </w:r>
          </w:p>
        </w:tc>
        <w:tc>
          <w:tcPr>
            <w:tcW w:type="dxa" w:w="6192"/>
            <w:shd w:val="clear" w:fill="EDF1F6"/>
          </w:tcPr>
          <w:p>
            <w:pPr>
              <w:spacing w:after="40" w:before="40"/>
            </w:pPr>
            <w:r/>
            <w:r>
              <w:rPr>
                <w:b/>
                <w:sz w:val="19"/>
              </w:rPr>
              <w:t>Question shape</w:t>
            </w:r>
          </w:p>
        </w:tc>
      </w:tr>
      <w:tr>
        <w:tc>
          <w:tcPr>
            <w:tcW w:type="dxa" w:w="3312"/>
          </w:tcPr>
          <w:p>
            <w:pPr>
              <w:spacing w:after="40" w:before="40"/>
            </w:pPr>
            <w:r>
              <w:rPr>
                <w:sz w:val="19"/>
              </w:rPr>
            </w:r>
            <w:r>
              <w:rPr>
                <w:rFonts w:ascii="Consolas" w:hAnsi="Consolas"/>
                <w:sz w:val="19"/>
              </w:rPr>
              <w:t>load</w:t>
            </w:r>
            <w:r>
              <w:rPr>
                <w:sz w:val="19"/>
              </w:rPr>
              <w:t xml:space="preserve">, </w:t>
            </w:r>
            <w:r>
              <w:rPr>
                <w:rFonts w:ascii="Consolas" w:hAnsi="Consolas"/>
                <w:sz w:val="19"/>
              </w:rPr>
              <w:t>join</w:t>
            </w:r>
            <w:r>
              <w:rPr>
                <w:sz w:val="19"/>
              </w:rPr>
              <w:t xml:space="preserve">, </w:t>
            </w:r>
            <w:r>
              <w:rPr>
                <w:rFonts w:ascii="Consolas" w:hAnsi="Consolas"/>
                <w:sz w:val="19"/>
              </w:rPr>
              <w:t>normalize</w:t>
            </w:r>
            <w:r>
              <w:rPr>
                <w:sz w:val="19"/>
              </w:rPr>
              <w:t xml:space="preserve">, </w:t>
            </w:r>
            <w:r>
              <w:rPr>
                <w:rFonts w:ascii="Consolas" w:hAnsi="Consolas"/>
                <w:sz w:val="19"/>
              </w:rPr>
              <w:t>aggregate</w:t>
            </w:r>
            <w:r>
              <w:rPr>
                <w:sz w:val="19"/>
              </w:rPr>
              <w:t xml:space="preserve">, </w:t>
            </w:r>
            <w:r>
              <w:rPr>
                <w:rFonts w:ascii="Consolas" w:hAnsi="Consolas"/>
                <w:sz w:val="19"/>
              </w:rPr>
              <w:t>rank</w:t>
            </w:r>
            <w:r>
              <w:rPr>
                <w:sz w:val="19"/>
              </w:rPr>
              <w:t xml:space="preserve">, </w:t>
            </w:r>
            <w:r>
              <w:rPr>
                <w:rFonts w:ascii="Consolas" w:hAnsi="Consolas"/>
                <w:sz w:val="19"/>
              </w:rPr>
              <w:t>filter_attr</w:t>
            </w:r>
          </w:p>
        </w:tc>
        <w:tc>
          <w:tcPr>
            <w:tcW w:type="dxa" w:w="6192"/>
          </w:tcPr>
          <w:p>
            <w:pPr>
              <w:spacing w:after="40" w:before="40"/>
            </w:pPr>
            <w:r>
              <w:rPr>
                <w:sz w:val="19"/>
              </w:rPr>
            </w:r>
            <w:r>
              <w:rPr>
                <w:sz w:val="19"/>
              </w:rPr>
              <w:t>"Median income by county", "income divided by population", "the top 10"</w:t>
            </w:r>
          </w:p>
        </w:tc>
      </w:tr>
      <w:tr>
        <w:tc>
          <w:tcPr>
            <w:tcW w:type="dxa" w:w="3312"/>
          </w:tcPr>
          <w:p>
            <w:pPr>
              <w:spacing w:after="40" w:before="40"/>
            </w:pPr>
            <w:r>
              <w:rPr>
                <w:sz w:val="19"/>
              </w:rPr>
            </w:r>
            <w:r>
              <w:rPr>
                <w:rFonts w:ascii="Consolas" w:hAnsi="Consolas"/>
                <w:sz w:val="19"/>
              </w:rPr>
              <w:t>count_features</w:t>
            </w:r>
          </w:p>
        </w:tc>
        <w:tc>
          <w:tcPr>
            <w:tcW w:type="dxa" w:w="6192"/>
          </w:tcPr>
          <w:p>
            <w:pPr>
              <w:spacing w:after="40" w:before="40"/>
            </w:pPr>
            <w:r>
              <w:rPr>
                <w:sz w:val="19"/>
              </w:rPr>
            </w:r>
            <w:r>
              <w:rPr>
                <w:sz w:val="19"/>
              </w:rPr>
              <w:t>"How many hospitals are in each county"</w:t>
            </w:r>
          </w:p>
        </w:tc>
      </w:tr>
      <w:tr>
        <w:tc>
          <w:tcPr>
            <w:tcW w:type="dxa" w:w="3312"/>
          </w:tcPr>
          <w:p>
            <w:pPr>
              <w:spacing w:after="40" w:before="40"/>
            </w:pPr>
            <w:r>
              <w:rPr>
                <w:sz w:val="19"/>
              </w:rPr>
            </w:r>
            <w:r>
              <w:rPr>
                <w:rFonts w:ascii="Consolas" w:hAnsi="Consolas"/>
                <w:sz w:val="19"/>
              </w:rPr>
              <w:t>count_near</w:t>
            </w:r>
          </w:p>
        </w:tc>
        <w:tc>
          <w:tcPr>
            <w:tcW w:type="dxa" w:w="6192"/>
          </w:tcPr>
          <w:p>
            <w:pPr>
              <w:spacing w:after="40" w:before="40"/>
            </w:pPr>
            <w:r>
              <w:rPr>
                <w:sz w:val="19"/>
              </w:rPr>
            </w:r>
            <w:r>
              <w:rPr>
                <w:sz w:val="19"/>
              </w:rPr>
              <w:t>"Power plants within 25 miles of a transmission line"</w:t>
            </w:r>
          </w:p>
        </w:tc>
      </w:tr>
      <w:tr>
        <w:tc>
          <w:tcPr>
            <w:tcW w:type="dxa" w:w="3312"/>
          </w:tcPr>
          <w:p>
            <w:pPr>
              <w:spacing w:after="40" w:before="40"/>
            </w:pPr>
            <w:r>
              <w:rPr>
                <w:sz w:val="19"/>
              </w:rPr>
            </w:r>
            <w:r>
              <w:rPr>
                <w:rFonts w:ascii="Consolas" w:hAnsi="Consolas"/>
                <w:sz w:val="19"/>
              </w:rPr>
              <w:t>nearest_distance</w:t>
            </w:r>
          </w:p>
        </w:tc>
        <w:tc>
          <w:tcPr>
            <w:tcW w:type="dxa" w:w="6192"/>
          </w:tcPr>
          <w:p>
            <w:pPr>
              <w:spacing w:after="40" w:before="40"/>
            </w:pPr>
            <w:r>
              <w:rPr>
                <w:sz w:val="19"/>
              </w:rPr>
            </w:r>
            <w:r>
              <w:rPr>
                <w:sz w:val="19"/>
              </w:rPr>
              <w:t>"How far is each county from the nearest hospital"</w:t>
            </w:r>
          </w:p>
        </w:tc>
      </w:tr>
      <w:tr>
        <w:tc>
          <w:tcPr>
            <w:tcW w:type="dxa" w:w="3312"/>
          </w:tcPr>
          <w:p>
            <w:pPr>
              <w:spacing w:after="40" w:before="40"/>
            </w:pPr>
            <w:r>
              <w:rPr>
                <w:sz w:val="19"/>
              </w:rPr>
            </w:r>
            <w:r>
              <w:rPr>
                <w:rFonts w:ascii="Consolas" w:hAnsi="Consolas"/>
                <w:sz w:val="19"/>
              </w:rPr>
              <w:t>per_area</w:t>
            </w:r>
          </w:p>
        </w:tc>
        <w:tc>
          <w:tcPr>
            <w:tcW w:type="dxa" w:w="6192"/>
          </w:tcPr>
          <w:p>
            <w:pPr>
              <w:spacing w:after="40" w:before="40"/>
            </w:pPr>
            <w:r>
              <w:rPr>
                <w:sz w:val="19"/>
              </w:rPr>
            </w:r>
            <w:r>
              <w:rPr>
                <w:sz w:val="19"/>
              </w:rPr>
              <w:t>"Per square mile", "density"</w:t>
            </w:r>
          </w:p>
        </w:tc>
      </w:tr>
      <w:tr>
        <w:tc>
          <w:tcPr>
            <w:tcW w:type="dxa" w:w="3312"/>
          </w:tcPr>
          <w:p>
            <w:pPr>
              <w:spacing w:after="40" w:before="40"/>
            </w:pPr>
            <w:r>
              <w:rPr>
                <w:sz w:val="19"/>
              </w:rPr>
            </w:r>
            <w:r>
              <w:rPr>
                <w:rFonts w:ascii="Consolas" w:hAnsi="Consolas"/>
                <w:sz w:val="19"/>
              </w:rPr>
              <w:t>filter_area</w:t>
            </w:r>
          </w:p>
        </w:tc>
        <w:tc>
          <w:tcPr>
            <w:tcW w:type="dxa" w:w="6192"/>
          </w:tcPr>
          <w:p>
            <w:pPr>
              <w:spacing w:after="40" w:before="40"/>
            </w:pPr>
            <w:r>
              <w:rPr>
                <w:sz w:val="19"/>
              </w:rPr>
            </w:r>
            <w:r>
              <w:rPr>
                <w:sz w:val="19"/>
              </w:rPr>
              <w:t>"In Missouri", "in the Midwest", "in New England"</w:t>
            </w:r>
          </w:p>
        </w:tc>
      </w:tr>
      <w:tr>
        <w:tc>
          <w:tcPr>
            <w:tcW w:type="dxa" w:w="3312"/>
          </w:tcPr>
          <w:p>
            <w:pPr>
              <w:spacing w:after="40" w:before="40"/>
            </w:pPr>
            <w:r>
              <w:rPr>
                <w:sz w:val="19"/>
              </w:rPr>
            </w:r>
            <w:r>
              <w:rPr>
                <w:rFonts w:ascii="Consolas" w:hAnsi="Consolas"/>
                <w:sz w:val="19"/>
              </w:rPr>
              <w:t>filter_place</w:t>
            </w:r>
          </w:p>
        </w:tc>
        <w:tc>
          <w:tcPr>
            <w:tcW w:type="dxa" w:w="6192"/>
          </w:tcPr>
          <w:p>
            <w:pPr>
              <w:spacing w:after="40" w:before="40"/>
            </w:pPr>
            <w:r>
              <w:rPr>
                <w:sz w:val="19"/>
              </w:rPr>
            </w:r>
            <w:r>
              <w:rPr>
                <w:sz w:val="19"/>
              </w:rPr>
              <w:t>"In the Chicago metro area", "in ZIP code 63101"</w:t>
            </w:r>
          </w:p>
        </w:tc>
      </w:tr>
      <w:tr>
        <w:tc>
          <w:tcPr>
            <w:tcW w:type="dxa" w:w="3312"/>
          </w:tcPr>
          <w:p>
            <w:pPr>
              <w:spacing w:after="40" w:before="40"/>
            </w:pPr>
            <w:r>
              <w:rPr>
                <w:sz w:val="19"/>
              </w:rPr>
            </w:r>
            <w:r>
              <w:rPr>
                <w:rFonts w:ascii="Consolas" w:hAnsi="Consolas"/>
                <w:sz w:val="19"/>
              </w:rPr>
              <w:t>select_features</w:t>
            </w:r>
          </w:p>
        </w:tc>
        <w:tc>
          <w:tcPr>
            <w:tcW w:type="dxa" w:w="6192"/>
          </w:tcPr>
          <w:p>
            <w:pPr>
              <w:spacing w:after="40" w:before="40"/>
            </w:pPr>
            <w:r>
              <w:rPr>
                <w:sz w:val="19"/>
              </w:rPr>
            </w:r>
            <w:r>
              <w:rPr>
                <w:sz w:val="19"/>
              </w:rPr>
              <w:t>"Where are the critical access hospitals in Missouri"</w:t>
            </w:r>
          </w:p>
        </w:tc>
      </w:tr>
    </w:tbl>
    <w:p>
      <w:pPr>
        <w:spacing w:after="40"/>
      </w:pPr>
    </w:p>
    <w:p>
      <w:r>
        <w:rPr>
          <w:rFonts w:ascii="Consolas" w:hAnsi="Consolas"/>
          <w:sz w:val="19"/>
        </w:rPr>
        <w:t>select_features</w:t>
      </w:r>
      <w:r>
        <w:t xml:space="preserve"> returns individual locations with their own geometry rather than one number per county, and is deliberately </w:t>
      </w:r>
      <w:r>
        <w:rPr>
          <w:b/>
        </w:rPr>
        <w:t>not composable</w:t>
      </w:r>
      <w:r>
        <w:t>: features have no county key and no value to bin. The alternative was a special case inside every other operation. The interface mirrors this with two separate map components, because a choropleth encodes one number in color while a feature layer encodes identity and position.</w:t>
      </w:r>
    </w:p>
    <w:p>
      <w:pPr>
        <w:pStyle w:val="Heading2"/>
      </w:pPr>
      <w:r>
        <w:t>Regions without hardcoding</w:t>
      </w:r>
    </w:p>
    <w:p>
      <w:r>
        <w:t xml:space="preserve">Restricting to "the Midwest" originally worked only for 60 literal names in a list. "New England" was not on it, so the operation was never offered to the planner, which reached for something else and </w:t>
      </w:r>
      <w:r>
        <w:rPr>
          <w:b/>
        </w:rPr>
        <w:t>returned zero rows with no error</w:t>
      </w:r>
      <w:r>
        <w:t>. Not unsupported: invisible.</w:t>
      </w:r>
    </w:p>
    <w:p>
      <w:r>
        <w:t xml:space="preserve">The gate now recognizes the </w:t>
      </w:r>
      <w:r>
        <w:rPr>
          <w:i/>
        </w:rPr>
        <w:t>shape</w:t>
      </w:r>
      <w:r>
        <w:t xml:space="preserve"> of a place restriction (region words, locative phrases) rather than a list of names, and the model expands the region into member states. A closed list of the 56 real states remains, because that enumerates reality rather than anticipating queries, and it is what prevents a place with no FIPS code being emitted. Verified with no entry anywhere for either phrase: New England returns 67 counties, the Pacific Northwest 119.</w:t>
      </w:r>
    </w:p>
    <w:p>
      <w:pPr>
        <w:pStyle w:val="Heading2"/>
      </w:pPr>
      <w:r>
        <w:t>When a question cannot be answered</w:t>
      </w:r>
    </w:p>
    <w:p>
      <w:r>
        <w:t>Three situations that look identical to a user are kept apart, because they have different remedies:</w:t>
      </w:r>
    </w:p>
    <w:p>
      <w:pPr>
        <w:pStyle w:val="ListNumber"/>
        <w:spacing w:after="80"/>
        <w:ind w:left="432"/>
      </w:pPr>
      <w:r>
        <w:rPr>
          <w:b/>
        </w:rPr>
        <w:t>The data was never loaded.</w:t>
      </w:r>
      <w:r>
        <w:t xml:space="preserve"> Named explicitly, because no rephrasing will ever reach it.</w:t>
      </w:r>
    </w:p>
    <w:p>
      <w:pPr>
        <w:pStyle w:val="ListNumber"/>
        <w:spacing w:after="80"/>
        <w:ind w:left="432"/>
      </w:pPr>
      <w:r>
        <w:rPr>
          <w:b/>
        </w:rPr>
        <w:t>Nothing usable came back.</w:t>
      </w:r>
      <w:r>
        <w:t xml:space="preserve"> Alternative questions are drawn from what is actually loaded.</w:t>
      </w:r>
    </w:p>
    <w:p>
      <w:pPr>
        <w:pStyle w:val="ListNumber"/>
        <w:spacing w:after="80"/>
        <w:ind w:left="432"/>
      </w:pPr>
      <w:r>
        <w:rPr>
          <w:b/>
        </w:rPr>
        <w:t>A plan could not be built.</w:t>
      </w:r>
      <w:r>
        <w:t xml:space="preserve"> Alternatives come from this query's own resolved candidates.</w:t>
      </w:r>
    </w:p>
    <w:p>
      <w:r>
        <w:t xml:space="preserve">Every suggestion is </w:t>
      </w:r>
      <w:r>
        <w:rPr>
          <w:b/>
        </w:rPr>
        <w:t>grounded by construction</w:t>
      </w:r>
      <w:r>
        <w:t>, built only from attributes that resolved, so clicking one cannot fail the way the original just did. Asking the model to invent alternatives would have been easier and would have reproduced this project's oldest failure.</w:t>
      </w:r>
    </w:p>
    <w:p>
      <w:pPr>
        <w:pStyle w:val="Heading2"/>
      </w:pPr>
      <w:r>
        <w:t>Ambiguity that succeeds is more dangerous than failure</w:t>
      </w:r>
    </w:p>
    <w:p>
      <w:r>
        <w:t xml:space="preserve">"Where are the fire stations in Springfield" runs fine and returns </w:t>
      </w:r>
      <w:r>
        <w:rPr>
          <w:b/>
        </w:rPr>
        <w:t>97 stations across 25 states</w:t>
      </w:r>
      <w:r>
        <w:t>. Nothing errors, the map looks plausible, and it is downloadable. The interface now reports the spread and offers to narrow it (Missouri 21, Ohio 14, Illinois 13 and so on) rather than picking one, because which Springfield was meant is the user's to say.</w:t>
      </w:r>
    </w:p>
    <w:p>
      <w:pPr>
        <w:pStyle w:val="Heading2"/>
      </w:pPr>
      <w:r>
        <w:t>Provenance travels with the data</w:t>
      </w:r>
    </w:p>
    <w:p>
      <w:r>
        <w:t>Every result carries a timestamp, the three model names, the corpus fingerprint, the catalog size, and the origin of each attribute used: dataset, physical table or census code, and time period. Exports carry it too, as comment lines in CSV and as a metadata member in GeoJSON, alongside a written report and a full JSON bundle. A downloaded number stays checkable after it leaves the application.</w:t>
      </w:r>
    </w:p>
    <w:p>
      <w:pPr>
        <w:pStyle w:val="Heading1"/>
      </w:pPr>
      <w:r>
        <w:t>Running it</w:t>
      </w:r>
    </w:p>
    <w:p>
      <w:r>
        <w:t>Five Docker services (database, embedder, model runner, API, web) behind a makefile. Startup is seconds rather than minutes because the embedding matrix is cached to disk and fingerprinted, so a changed vector space is detected rather than silently served.</w:t>
      </w:r>
    </w:p>
    <w:tbl>
      <w:tblPr>
        <w:tblStyle w:val="TableGrid"/>
        <w:tblW w:type="auto" w:w="0"/>
        <w:jc w:val="left"/>
        <w:tblLayout w:type="fixed"/>
        <w:tblLook w:firstColumn="1" w:firstRow="1" w:lastColumn="0" w:lastRow="0" w:noHBand="0" w:noVBand="1" w:val="04A0"/>
      </w:tblPr>
      <w:tblGrid>
        <w:gridCol w:w="4752"/>
        <w:gridCol w:w="4752"/>
      </w:tblGrid>
      <w:tr>
        <w:tc>
          <w:tcPr>
            <w:tcW w:type="dxa" w:w="1872"/>
            <w:shd w:val="clear" w:fill="EDF1F6"/>
          </w:tcPr>
          <w:p>
            <w:pPr>
              <w:spacing w:after="40" w:before="40"/>
            </w:pPr>
            <w:r/>
            <w:r>
              <w:rPr>
                <w:b/>
                <w:sz w:val="19"/>
              </w:rPr>
              <w:t>Concern</w:t>
            </w:r>
          </w:p>
        </w:tc>
        <w:tc>
          <w:tcPr>
            <w:tcW w:type="dxa" w:w="7632"/>
            <w:shd w:val="clear" w:fill="EDF1F6"/>
          </w:tcPr>
          <w:p>
            <w:pPr>
              <w:spacing w:after="40" w:before="40"/>
            </w:pPr>
            <w:r/>
            <w:r>
              <w:rPr>
                <w:b/>
                <w:sz w:val="19"/>
              </w:rPr>
              <w:t>Current state</w:t>
            </w:r>
          </w:p>
        </w:tc>
      </w:tr>
      <w:tr>
        <w:tc>
          <w:tcPr>
            <w:tcW w:type="dxa" w:w="1872"/>
          </w:tcPr>
          <w:p>
            <w:pPr>
              <w:spacing w:after="40" w:before="40"/>
            </w:pPr>
            <w:r>
              <w:rPr>
                <w:sz w:val="19"/>
              </w:rPr>
            </w:r>
            <w:r>
              <w:rPr>
                <w:sz w:val="19"/>
              </w:rPr>
              <w:t>Concurrency</w:t>
            </w:r>
          </w:p>
        </w:tc>
        <w:tc>
          <w:tcPr>
            <w:tcW w:type="dxa" w:w="7632"/>
          </w:tcPr>
          <w:p>
            <w:pPr>
              <w:spacing w:after="40" w:before="40"/>
            </w:pPr>
            <w:r>
              <w:rPr>
                <w:sz w:val="19"/>
              </w:rPr>
            </w:r>
            <w:r>
              <w:rPr>
                <w:b/>
                <w:sz w:val="19"/>
              </w:rPr>
              <w:t>One analysis at a time.</w:t>
            </w:r>
            <w:r>
              <w:rPr>
                <w:sz w:val="19"/>
              </w:rPr>
              <w:t xml:space="preserve"> 15.8 of 16.4 GB of GPU memory is already committed to two resident models, so there is no room to run two generations at once. Additional requests are queued and told their position; the queue refuses work past a depth of 20 rather than growing without bound.</w:t>
            </w:r>
          </w:p>
        </w:tc>
      </w:tr>
      <w:tr>
        <w:tc>
          <w:tcPr>
            <w:tcW w:type="dxa" w:w="1872"/>
          </w:tcPr>
          <w:p>
            <w:pPr>
              <w:spacing w:after="40" w:before="40"/>
            </w:pPr>
            <w:r>
              <w:rPr>
                <w:sz w:val="19"/>
              </w:rPr>
            </w:r>
            <w:r>
              <w:rPr>
                <w:sz w:val="19"/>
              </w:rPr>
              <w:t>Access control</w:t>
            </w:r>
          </w:p>
        </w:tc>
        <w:tc>
          <w:tcPr>
            <w:tcW w:type="dxa" w:w="7632"/>
          </w:tcPr>
          <w:p>
            <w:pPr>
              <w:spacing w:after="40" w:before="40"/>
            </w:pPr>
            <w:r>
              <w:rPr>
                <w:sz w:val="19"/>
              </w:rPr>
            </w:r>
            <w:r>
              <w:rPr>
                <w:sz w:val="19"/>
              </w:rPr>
              <w:t xml:space="preserve">Session cookies with signed tokens, per-identity rate limiting, and 18 tests covering the negative cases. </w:t>
            </w:r>
            <w:r>
              <w:rPr>
                <w:b/>
                <w:sz w:val="19"/>
              </w:rPr>
              <w:t>Off unless an access code is configured</w:t>
            </w:r>
            <w:r>
              <w:rPr>
                <w:sz w:val="19"/>
              </w:rPr>
              <w:t>, which is deliberate and warned about at startup.</w:t>
            </w:r>
          </w:p>
        </w:tc>
      </w:tr>
      <w:tr>
        <w:tc>
          <w:tcPr>
            <w:tcW w:type="dxa" w:w="1872"/>
          </w:tcPr>
          <w:p>
            <w:pPr>
              <w:spacing w:after="40" w:before="40"/>
            </w:pPr>
            <w:r>
              <w:rPr>
                <w:sz w:val="19"/>
              </w:rPr>
            </w:r>
            <w:r>
              <w:rPr>
                <w:sz w:val="19"/>
              </w:rPr>
              <w:t>Memory</w:t>
            </w:r>
          </w:p>
        </w:tc>
        <w:tc>
          <w:tcPr>
            <w:tcW w:type="dxa" w:w="7632"/>
          </w:tcPr>
          <w:p>
            <w:pPr>
              <w:spacing w:after="40" w:before="40"/>
            </w:pPr>
            <w:r>
              <w:rPr>
                <w:sz w:val="19"/>
              </w:rPr>
            </w:r>
            <w:r>
              <w:rPr>
                <w:sz w:val="19"/>
              </w:rPr>
              <w:t>8 GB of Docker memory is not enough; a sustained evaluation run was killed. The planner model alone is larger than that budget allows.</w:t>
            </w:r>
          </w:p>
        </w:tc>
      </w:tr>
      <w:tr>
        <w:tc>
          <w:tcPr>
            <w:tcW w:type="dxa" w:w="1872"/>
          </w:tcPr>
          <w:p>
            <w:pPr>
              <w:spacing w:after="40" w:before="40"/>
            </w:pPr>
            <w:r>
              <w:rPr>
                <w:sz w:val="19"/>
              </w:rPr>
            </w:r>
            <w:r>
              <w:rPr>
                <w:sz w:val="19"/>
              </w:rPr>
              <w:t>Backups</w:t>
            </w:r>
          </w:p>
        </w:tc>
        <w:tc>
          <w:tcPr>
            <w:tcW w:type="dxa" w:w="7632"/>
          </w:tcPr>
          <w:p>
            <w:pPr>
              <w:spacing w:after="40" w:before="40"/>
            </w:pPr>
            <w:r>
              <w:rPr>
                <w:sz w:val="19"/>
              </w:rPr>
            </w:r>
            <w:r>
              <w:rPr>
                <w:b/>
                <w:sz w:val="19"/>
              </w:rPr>
              <w:t>None.</w:t>
            </w:r>
            <w:r>
              <w:rPr>
                <w:sz w:val="19"/>
              </w:rPr>
              <w:t xml:space="preserve"> See open items.</w:t>
            </w:r>
          </w:p>
        </w:tc>
      </w:tr>
    </w:tbl>
    <w:p>
      <w:pPr>
        <w:spacing w:after="40"/>
      </w:pPr>
    </w:p>
    <w:p>
      <w:pPr>
        <w:pStyle w:val="Heading1"/>
      </w:pPr>
      <w:r>
        <w:t>What still needs to be done</w:t>
      </w:r>
    </w:p>
    <w:p>
      <w:pPr>
        <w:pStyle w:val="Heading2"/>
      </w:pPr>
      <w:r>
        <w:t>Known defects</w:t>
      </w:r>
    </w:p>
    <w:p>
      <w:pPr>
        <w:pStyle w:val="ListBullet"/>
        <w:spacing w:after="60"/>
        <w:ind w:left="360"/>
      </w:pPr>
      <w:r>
        <w:rPr>
          <w:b/>
        </w:rPr>
        <w:t>One planner query fails consistently.</w:t>
      </w:r>
      <w:r>
        <w:t xml:space="preserve"> "Population density per square mile" phrased bare retrieves housing-occupancy columns and no total-population series, so no plan can be built. This is a retrieval problem, not a planning one, and it is the single failure in the 21-query probe.</w:t>
      </w:r>
    </w:p>
    <w:p>
      <w:pPr>
        <w:pStyle w:val="ListBullet"/>
        <w:spacing w:after="60"/>
        <w:ind w:left="360"/>
      </w:pPr>
      <w:r>
        <w:rPr>
          <w:b/>
        </w:rPr>
        <w:t>22 catalog datasets have no underlying data</w:t>
      </w:r>
      <w:r>
        <w:t>, because the source archive they came from was truncated. The interface names them explicitly when they are matched. Fixing this needs a fresh copy of the archive.</w:t>
      </w:r>
    </w:p>
    <w:p>
      <w:pPr>
        <w:pStyle w:val="ListBullet"/>
        <w:spacing w:after="60"/>
        <w:ind w:left="360"/>
      </w:pPr>
      <w:r>
        <w:rPr>
          <w:b/>
        </w:rPr>
        <w:t>Plan corrections are shown while running but not in the final report.</w:t>
      </w:r>
      <w:r>
        <w:t xml:space="preserve"> A user who looks away misses the fact that their query was adjusted.</w:t>
      </w:r>
    </w:p>
    <w:p>
      <w:pPr>
        <w:pStyle w:val="Heading2"/>
      </w:pPr>
      <w:r>
        <w:t>Highest-value next work</w:t>
      </w:r>
    </w:p>
    <w:tbl>
      <w:tblPr>
        <w:tblStyle w:val="TableGrid"/>
        <w:tblW w:type="auto" w:w="0"/>
        <w:jc w:val="left"/>
        <w:tblLayout w:type="fixed"/>
        <w:tblLook w:firstColumn="1" w:firstRow="1" w:lastColumn="0" w:lastRow="0" w:noHBand="0" w:noVBand="1" w:val="04A0"/>
      </w:tblPr>
      <w:tblGrid>
        <w:gridCol w:w="3168"/>
        <w:gridCol w:w="3168"/>
        <w:gridCol w:w="3168"/>
      </w:tblGrid>
      <w:tr>
        <w:tc>
          <w:tcPr>
            <w:tcW w:type="dxa" w:w="2736"/>
            <w:shd w:val="clear" w:fill="EDF1F6"/>
          </w:tcPr>
          <w:p>
            <w:pPr>
              <w:spacing w:after="40" w:before="40"/>
            </w:pPr>
            <w:r/>
            <w:r>
              <w:rPr>
                <w:b/>
                <w:sz w:val="19"/>
              </w:rPr>
              <w:t>Item</w:t>
            </w:r>
          </w:p>
        </w:tc>
        <w:tc>
          <w:tcPr>
            <w:tcW w:type="dxa" w:w="5616"/>
            <w:shd w:val="clear" w:fill="EDF1F6"/>
          </w:tcPr>
          <w:p>
            <w:pPr>
              <w:spacing w:after="40" w:before="40"/>
            </w:pPr>
            <w:r/>
            <w:r>
              <w:rPr>
                <w:b/>
                <w:sz w:val="19"/>
              </w:rPr>
              <w:t>Why it matters</w:t>
            </w:r>
          </w:p>
        </w:tc>
        <w:tc>
          <w:tcPr>
            <w:tcW w:type="dxa" w:w="1152"/>
            <w:shd w:val="clear" w:fill="EDF1F6"/>
          </w:tcPr>
          <w:p>
            <w:pPr>
              <w:spacing w:after="40" w:before="40"/>
            </w:pPr>
            <w:r/>
            <w:r>
              <w:rPr>
                <w:b/>
                <w:sz w:val="19"/>
              </w:rPr>
              <w:t>Size</w:t>
            </w:r>
          </w:p>
        </w:tc>
      </w:tr>
      <w:tr>
        <w:tc>
          <w:tcPr>
            <w:tcW w:type="dxa" w:w="2736"/>
          </w:tcPr>
          <w:p>
            <w:pPr>
              <w:spacing w:after="40" w:before="40"/>
            </w:pPr>
            <w:r>
              <w:rPr>
                <w:sz w:val="19"/>
              </w:rPr>
            </w:r>
            <w:r>
              <w:rPr>
                <w:sz w:val="19"/>
              </w:rPr>
              <w:t>Carry the generated column descriptions through the pipeline</w:t>
            </w:r>
          </w:p>
        </w:tc>
        <w:tc>
          <w:tcPr>
            <w:tcW w:type="dxa" w:w="5616"/>
          </w:tcPr>
          <w:p>
            <w:pPr>
              <w:spacing w:after="40" w:before="40"/>
            </w:pPr>
            <w:r>
              <w:rPr>
                <w:sz w:val="19"/>
              </w:rPr>
            </w:r>
            <w:r>
              <w:rPr>
                <w:sz w:val="19"/>
              </w:rPr>
              <w:t>They are already produced and then discarded. 392 facility attributes have no real description at all, only a bare column name. Likely the cheapest retrieval improvement remaining.</w:t>
            </w:r>
          </w:p>
        </w:tc>
        <w:tc>
          <w:tcPr>
            <w:tcW w:type="dxa" w:w="1152"/>
          </w:tcPr>
          <w:p>
            <w:pPr>
              <w:spacing w:after="40" w:before="40"/>
            </w:pPr>
            <w:r>
              <w:rPr>
                <w:sz w:val="19"/>
              </w:rPr>
            </w:r>
            <w:r>
              <w:rPr>
                <w:sz w:val="19"/>
              </w:rPr>
              <w:t>Small</w:t>
            </w:r>
          </w:p>
        </w:tc>
      </w:tr>
      <w:tr>
        <w:tc>
          <w:tcPr>
            <w:tcW w:type="dxa" w:w="2736"/>
          </w:tcPr>
          <w:p>
            <w:pPr>
              <w:spacing w:after="40" w:before="40"/>
            </w:pPr>
            <w:r>
              <w:rPr>
                <w:sz w:val="19"/>
              </w:rPr>
            </w:r>
            <w:r>
              <w:rPr>
                <w:sz w:val="19"/>
              </w:rPr>
              <w:t>Add a cross-encoder reranker</w:t>
            </w:r>
          </w:p>
        </w:tc>
        <w:tc>
          <w:tcPr>
            <w:tcW w:type="dxa" w:w="5616"/>
          </w:tcPr>
          <w:p>
            <w:pPr>
              <w:spacing w:after="40" w:before="40"/>
            </w:pPr>
            <w:r>
              <w:rPr>
                <w:sz w:val="19"/>
              </w:rPr>
            </w:r>
            <w:r>
              <w:rPr>
                <w:sz w:val="19"/>
              </w:rPr>
              <w:t>Measured target: it must recover a ranking gain (0.786 to ~0.87 on mean reciprocal rank) without the 10-point recall loss that the language-model verification step caused.</w:t>
            </w:r>
          </w:p>
        </w:tc>
        <w:tc>
          <w:tcPr>
            <w:tcW w:type="dxa" w:w="1152"/>
          </w:tcPr>
          <w:p>
            <w:pPr>
              <w:spacing w:after="40" w:before="40"/>
            </w:pPr>
            <w:r>
              <w:rPr>
                <w:sz w:val="19"/>
              </w:rPr>
            </w:r>
            <w:r>
              <w:rPr>
                <w:sz w:val="19"/>
              </w:rPr>
              <w:t>Medium</w:t>
            </w:r>
          </w:p>
        </w:tc>
      </w:tr>
      <w:tr>
        <w:tc>
          <w:tcPr>
            <w:tcW w:type="dxa" w:w="2736"/>
          </w:tcPr>
          <w:p>
            <w:pPr>
              <w:spacing w:after="40" w:before="40"/>
            </w:pPr>
            <w:r>
              <w:rPr>
                <w:sz w:val="19"/>
              </w:rPr>
            </w:r>
            <w:r>
              <w:rPr>
                <w:sz w:val="19"/>
              </w:rPr>
              <w:t>Continuous integration</w:t>
            </w:r>
          </w:p>
        </w:tc>
        <w:tc>
          <w:tcPr>
            <w:tcW w:type="dxa" w:w="5616"/>
          </w:tcPr>
          <w:p>
            <w:pPr>
              <w:spacing w:after="40" w:before="40"/>
            </w:pPr>
            <w:r>
              <w:rPr>
                <w:sz w:val="19"/>
              </w:rPr>
            </w:r>
            <w:r>
              <w:rPr>
                <w:sz w:val="19"/>
              </w:rPr>
              <w:t>94 tests exist and pass, and nothing runs them automatically.</w:t>
            </w:r>
          </w:p>
        </w:tc>
        <w:tc>
          <w:tcPr>
            <w:tcW w:type="dxa" w:w="1152"/>
          </w:tcPr>
          <w:p>
            <w:pPr>
              <w:spacing w:after="40" w:before="40"/>
            </w:pPr>
            <w:r>
              <w:rPr>
                <w:sz w:val="19"/>
              </w:rPr>
            </w:r>
            <w:r>
              <w:rPr>
                <w:sz w:val="19"/>
              </w:rPr>
              <w:t>Small</w:t>
            </w:r>
          </w:p>
        </w:tc>
      </w:tr>
      <w:tr>
        <w:tc>
          <w:tcPr>
            <w:tcW w:type="dxa" w:w="2736"/>
          </w:tcPr>
          <w:p>
            <w:pPr>
              <w:spacing w:after="40" w:before="40"/>
            </w:pPr>
            <w:r>
              <w:rPr>
                <w:sz w:val="19"/>
              </w:rPr>
            </w:r>
            <w:r>
              <w:rPr>
                <w:sz w:val="19"/>
              </w:rPr>
              <w:t>Database backups</w:t>
            </w:r>
          </w:p>
        </w:tc>
        <w:tc>
          <w:tcPr>
            <w:tcW w:type="dxa" w:w="5616"/>
          </w:tcPr>
          <w:p>
            <w:pPr>
              <w:spacing w:after="40" w:before="40"/>
            </w:pPr>
            <w:r>
              <w:rPr>
                <w:sz w:val="19"/>
              </w:rPr>
            </w:r>
            <w:r>
              <w:rPr>
                <w:sz w:val="19"/>
              </w:rPr>
              <w:t>There is no backup of a database that took considerable time to load.</w:t>
            </w:r>
          </w:p>
        </w:tc>
        <w:tc>
          <w:tcPr>
            <w:tcW w:type="dxa" w:w="1152"/>
          </w:tcPr>
          <w:p>
            <w:pPr>
              <w:spacing w:after="40" w:before="40"/>
            </w:pPr>
            <w:r>
              <w:rPr>
                <w:sz w:val="19"/>
              </w:rPr>
            </w:r>
            <w:r>
              <w:rPr>
                <w:sz w:val="19"/>
              </w:rPr>
              <w:t>Small</w:t>
            </w:r>
          </w:p>
        </w:tc>
      </w:tr>
      <w:tr>
        <w:tc>
          <w:tcPr>
            <w:tcW w:type="dxa" w:w="2736"/>
          </w:tcPr>
          <w:p>
            <w:pPr>
              <w:spacing w:after="40" w:before="40"/>
            </w:pPr>
            <w:r>
              <w:rPr>
                <w:sz w:val="19"/>
              </w:rPr>
            </w:r>
            <w:r>
              <w:rPr>
                <w:sz w:val="19"/>
              </w:rPr>
              <w:t>Raster support</w:t>
            </w:r>
          </w:p>
        </w:tc>
        <w:tc>
          <w:tcPr>
            <w:tcW w:type="dxa" w:w="5616"/>
          </w:tcPr>
          <w:p>
            <w:pPr>
              <w:spacing w:after="40" w:before="40"/>
            </w:pPr>
            <w:r>
              <w:rPr>
                <w:sz w:val="19"/>
              </w:rPr>
            </w:r>
            <w:r>
              <w:rPr>
                <w:sz w:val="19"/>
              </w:rPr>
              <w:t>A 1 km population grid is sitting unprocessed because the pipeline deliberately refuses rasters. Supporting it needs a new loader, a new source type, and zonal statistics operations. It would make population normalization far better than the county-level figures allow.</w:t>
            </w:r>
          </w:p>
        </w:tc>
        <w:tc>
          <w:tcPr>
            <w:tcW w:type="dxa" w:w="1152"/>
          </w:tcPr>
          <w:p>
            <w:pPr>
              <w:spacing w:after="40" w:before="40"/>
            </w:pPr>
            <w:r>
              <w:rPr>
                <w:sz w:val="19"/>
              </w:rPr>
            </w:r>
            <w:r>
              <w:rPr>
                <w:sz w:val="19"/>
              </w:rPr>
              <w:t>Large</w:t>
            </w:r>
          </w:p>
        </w:tc>
      </w:tr>
      <w:tr>
        <w:tc>
          <w:tcPr>
            <w:tcW w:type="dxa" w:w="2736"/>
          </w:tcPr>
          <w:p>
            <w:pPr>
              <w:spacing w:after="40" w:before="40"/>
            </w:pPr>
            <w:r>
              <w:rPr>
                <w:sz w:val="19"/>
              </w:rPr>
            </w:r>
            <w:r>
              <w:rPr>
                <w:sz w:val="19"/>
              </w:rPr>
              <w:t>Additional boundary types</w:t>
            </w:r>
          </w:p>
        </w:tc>
        <w:tc>
          <w:tcPr>
            <w:tcW w:type="dxa" w:w="5616"/>
          </w:tcPr>
          <w:p>
            <w:pPr>
              <w:spacing w:after="40" w:before="40"/>
            </w:pPr>
            <w:r>
              <w:rPr>
                <w:sz w:val="19"/>
              </w:rPr>
            </w:r>
            <w:r>
              <w:rPr>
                <w:sz w:val="19"/>
              </w:rPr>
              <w:t>School district and tribal area boundaries are already downloaded and would drop into the existing boundary table as two more kinds.</w:t>
            </w:r>
          </w:p>
        </w:tc>
        <w:tc>
          <w:tcPr>
            <w:tcW w:type="dxa" w:w="1152"/>
          </w:tcPr>
          <w:p>
            <w:pPr>
              <w:spacing w:after="40" w:before="40"/>
            </w:pPr>
            <w:r>
              <w:rPr>
                <w:sz w:val="19"/>
              </w:rPr>
            </w:r>
            <w:r>
              <w:rPr>
                <w:sz w:val="19"/>
              </w:rPr>
              <w:t>Small</w:t>
            </w:r>
          </w:p>
        </w:tc>
      </w:tr>
    </w:tbl>
    <w:p>
      <w:pPr>
        <w:spacing w:after="40"/>
      </w:pPr>
    </w:p>
    <w:p>
      <w:pPr>
        <w:pStyle w:val="Heading2"/>
      </w:pPr>
      <w:r>
        <w:t>Deliberately deferred</w:t>
      </w:r>
    </w:p>
    <w:p>
      <w:pPr>
        <w:pStyle w:val="ListBullet"/>
        <w:spacing w:after="60"/>
        <w:ind w:left="360"/>
      </w:pPr>
      <w:r>
        <w:rPr>
          <w:b/>
        </w:rPr>
        <w:t>Interface redesign.</w:t>
      </w:r>
      <w:r>
        <w:t xml:space="preserve"> The theme system is wired and the redesign is deliberately held until the functional surface stops moving.</w:t>
      </w:r>
    </w:p>
    <w:p>
      <w:pPr>
        <w:pStyle w:val="ListBullet"/>
        <w:spacing w:after="60"/>
        <w:ind w:left="360"/>
      </w:pPr>
      <w:r>
        <w:rPr>
          <w:b/>
        </w:rPr>
        <w:t>Census tracts and block groups.</w:t>
      </w:r>
      <w:r>
        <w:t xml:space="preserve"> These are a different unit of analysis rather than a place someone names, and supporting them requires changing the contract that every operation currently shares.</w:t>
      </w:r>
    </w:p>
    <w:p>
      <w:pPr>
        <w:pStyle w:val="ListBullet"/>
        <w:spacing w:after="60"/>
        <w:ind w:left="360"/>
      </w:pPr>
      <w:r>
        <w:rPr>
          <w:b/>
        </w:rPr>
        <w:t>Moving the catalog into a vector database.</w:t>
      </w:r>
      <w:r>
        <w:t xml:space="preserve"> Three of the four original reasons for this have evaporated: search is already 0.01s, startup is already seconds, and the current lexical matcher outperforms what the database would provide. The remaining benefit is a stateless API.</w:t>
      </w:r>
    </w:p>
    <w:p>
      <w:pPr>
        <w:pStyle w:val="ListBullet"/>
        <w:spacing w:after="60"/>
        <w:ind w:left="360"/>
      </w:pPr>
      <w:r>
        <w:rPr>
          <w:b/>
        </w:rPr>
        <w:t>Exposing the tools over a standard agent protocol</w:t>
      </w:r>
      <w:r>
        <w:t>, and wiring the existing machine-learning service in as a plan operation. Both add surface area to a planner whose operation set is already known to cost accuracy as it grows.</w:t>
      </w:r>
    </w:p>
    <w:p>
      <w:pPr>
        <w:pStyle w:val="Heading2"/>
      </w:pPr>
      <w:r>
        <w:t>A measurement caveat worth stating</w:t>
      </w:r>
    </w:p>
    <w:p>
      <w:r>
        <w:t xml:space="preserve">One of the four planner metrics, operation diversity, </w:t>
      </w:r>
      <w:r>
        <w:rPr>
          <w:b/>
        </w:rPr>
        <w:t>decays as the test suite grows</w:t>
      </w:r>
      <w:r>
        <w:t xml:space="preserve"> and should not be read as a regression. It counts distinct operation sequences divided by query count, so adding queries that intentionally share a shape lowers it without anything getting worse. It is a strong signal of a planner copying its examples (it caught the 0.12 case) and a weak signal of anything else. It should be read against a fixed suite or not at all.</w:t>
      </w:r>
    </w:p>
    <w:p>
      <w:pPr>
        <w:pStyle w:val="Heading1"/>
      </w:pPr>
      <w:r>
        <w:t>Where this stands</w:t>
      </w:r>
    </w:p>
    <w:p>
      <w:r>
        <w:t xml:space="preserve">The pipeline is complete and the numbers are honest. What limits the system now is </w:t>
      </w:r>
      <w:r>
        <w:rPr>
          <w:b/>
        </w:rPr>
        <w:t>retrieval quality on ambiguous phrasing</w:t>
      </w:r>
      <w:r>
        <w:t xml:space="preserve"> rather than plumbing or planning: the one consistent planner failure is a retrieval failure wearing a planner's clothes, and the highest-value remaining items are both retrieval work.</w:t>
      </w:r>
    </w:p>
    <w:p>
      <w:r>
        <w:t>The operation set is at 13, and this project has measured that operation count costs accuracy on its own. Narrowing what is offered per question is therefore load-bearing, and adding capability is no longer free. The next capability added should be one that opens a category, which is the argument for raster support, rather than one more variation on questions the system already answers.</w:t>
      </w:r>
    </w:p>
    <w:p>
      <w:r>
        <w:t>Current work is uncommitted: 43 tracked files modified and 39 new files, roughly 4,000 lines added.</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olor w:val="1A1A19"/>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5CA8"/>
      <w:sz w:val="26"/>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color w:val="1A1A1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