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836A5" w14:textId="77217B2C" w:rsidR="00E00592"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Daniel Finch</w:t>
      </w:r>
    </w:p>
    <w:p w14:paraId="5A7F2E3C" w14:textId="64C4524F" w:rsidR="00D137CB"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August 29</w:t>
      </w:r>
      <w:proofErr w:type="gramStart"/>
      <w:r w:rsidRPr="000F202E">
        <w:rPr>
          <w:rFonts w:ascii="Arial" w:hAnsi="Arial" w:cs="Arial"/>
          <w:color w:val="000000" w:themeColor="text1"/>
          <w:sz w:val="22"/>
          <w:szCs w:val="22"/>
        </w:rPr>
        <w:t xml:space="preserve"> 2022</w:t>
      </w:r>
      <w:proofErr w:type="gramEnd"/>
    </w:p>
    <w:p w14:paraId="5A967E95" w14:textId="38B7D06B" w:rsidR="00D137CB" w:rsidRPr="000F202E" w:rsidRDefault="00D137CB"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Sprint 1 Baby Project Report</w:t>
      </w:r>
    </w:p>
    <w:p w14:paraId="7EC35988" w14:textId="257034FE" w:rsidR="00D137CB" w:rsidRPr="000F202E" w:rsidRDefault="008D3693"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b/>
        <w:t xml:space="preserve">The available accounts for the policy holders are Fixed, </w:t>
      </w:r>
      <w:proofErr w:type="spellStart"/>
      <w:r w:rsidRPr="000F202E">
        <w:rPr>
          <w:rFonts w:ascii="Arial" w:hAnsi="Arial" w:cs="Arial"/>
          <w:color w:val="000000" w:themeColor="text1"/>
          <w:sz w:val="22"/>
          <w:szCs w:val="22"/>
        </w:rPr>
        <w:t>FixedLT</w:t>
      </w:r>
      <w:proofErr w:type="spellEnd"/>
      <w:r w:rsidRPr="000F202E">
        <w:rPr>
          <w:rFonts w:ascii="Arial" w:hAnsi="Arial" w:cs="Arial"/>
          <w:color w:val="000000" w:themeColor="text1"/>
          <w:sz w:val="22"/>
          <w:szCs w:val="22"/>
        </w:rPr>
        <w:t xml:space="preserve">, 1YrA, 1YrD, 1YrF, and Var. All 3 </w:t>
      </w:r>
      <w:r w:rsidR="00812EA1" w:rsidRPr="000F202E">
        <w:rPr>
          <w:rFonts w:ascii="Arial" w:hAnsi="Arial" w:cs="Arial"/>
          <w:color w:val="000000" w:themeColor="text1"/>
          <w:sz w:val="22"/>
          <w:szCs w:val="22"/>
        </w:rPr>
        <w:t>are allocated 100% in Var</w:t>
      </w:r>
      <w:r w:rsidR="00111A6F" w:rsidRPr="000F202E">
        <w:rPr>
          <w:rFonts w:ascii="Arial" w:hAnsi="Arial" w:cs="Arial"/>
          <w:color w:val="000000" w:themeColor="text1"/>
          <w:sz w:val="22"/>
          <w:szCs w:val="22"/>
        </w:rPr>
        <w:t xml:space="preserve"> which makes sense as the Illustration is for Variable Universal Life.</w:t>
      </w:r>
    </w:p>
    <w:p w14:paraId="5AF1FFBD" w14:textId="0D49BA07" w:rsidR="00812EA1" w:rsidRPr="000F202E" w:rsidRDefault="002A5EDC" w:rsidP="00CA6FCE">
      <w:pPr>
        <w:suppressAutoHyphens/>
        <w:spacing w:line="480" w:lineRule="auto"/>
        <w:rPr>
          <w:rFonts w:ascii="Arial" w:hAnsi="Arial" w:cs="Arial"/>
          <w:color w:val="000000" w:themeColor="text1"/>
          <w:sz w:val="22"/>
          <w:szCs w:val="22"/>
        </w:rPr>
      </w:pPr>
      <w:r>
        <w:rPr>
          <w:rFonts w:ascii="Arial" w:hAnsi="Arial" w:cs="Arial"/>
          <w:noProof/>
          <w:color w:val="000000" w:themeColor="text1"/>
          <w:sz w:val="22"/>
          <w:szCs w:val="22"/>
        </w:rPr>
        <w:drawing>
          <wp:inline distT="0" distB="0" distL="0" distR="0" wp14:anchorId="60725012" wp14:editId="402DE594">
            <wp:extent cx="3229454" cy="1120648"/>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9449" cy="1158817"/>
                    </a:xfrm>
                    <a:prstGeom prst="rect">
                      <a:avLst/>
                    </a:prstGeom>
                  </pic:spPr>
                </pic:pic>
              </a:graphicData>
            </a:graphic>
          </wp:inline>
        </w:drawing>
      </w:r>
    </w:p>
    <w:p w14:paraId="1B81613C" w14:textId="14C8405F" w:rsidR="00812EA1" w:rsidRPr="000F202E" w:rsidRDefault="00812EA1" w:rsidP="00CA6FCE">
      <w:pPr>
        <w:suppressAutoHyphens/>
        <w:spacing w:line="480" w:lineRule="auto"/>
        <w:rPr>
          <w:rFonts w:ascii="Arial" w:hAnsi="Arial" w:cs="Arial"/>
          <w:color w:val="000000" w:themeColor="text1"/>
          <w:sz w:val="22"/>
          <w:szCs w:val="22"/>
        </w:rPr>
      </w:pPr>
      <w:r w:rsidRPr="000F202E">
        <w:rPr>
          <w:rFonts w:ascii="Arial" w:hAnsi="Arial" w:cs="Arial"/>
          <w:color w:val="000000" w:themeColor="text1"/>
          <w:sz w:val="22"/>
          <w:szCs w:val="22"/>
        </w:rPr>
        <w:tab/>
        <w:t xml:space="preserve">The </w:t>
      </w:r>
      <w:proofErr w:type="spellStart"/>
      <w:r w:rsidRPr="000F202E">
        <w:rPr>
          <w:rFonts w:ascii="Arial" w:hAnsi="Arial" w:cs="Arial"/>
          <w:color w:val="000000" w:themeColor="text1"/>
          <w:sz w:val="22"/>
          <w:szCs w:val="22"/>
        </w:rPr>
        <w:t>Json</w:t>
      </w:r>
      <w:proofErr w:type="spellEnd"/>
      <w:r w:rsidRPr="000F202E">
        <w:rPr>
          <w:rFonts w:ascii="Arial" w:hAnsi="Arial" w:cs="Arial"/>
          <w:color w:val="000000" w:themeColor="text1"/>
          <w:sz w:val="22"/>
          <w:szCs w:val="22"/>
        </w:rPr>
        <w:t xml:space="preserve"> file with illustration ID: 0a58ef5a-9f01-49bc-9bb7-f13ab042b80f has the following Riders:</w:t>
      </w:r>
    </w:p>
    <w:p w14:paraId="44FE4891" w14:textId="73C89976"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Conversion Rider (Automatic)</w:t>
      </w:r>
      <w:r w:rsidR="00FC2A6A" w:rsidRPr="000F202E">
        <w:rPr>
          <w:rFonts w:ascii="Arial" w:eastAsia="Times New Roman" w:hAnsi="Arial" w:cs="Arial"/>
          <w:color w:val="000000" w:themeColor="text1"/>
          <w:sz w:val="22"/>
          <w:szCs w:val="22"/>
        </w:rPr>
        <w:t>: provided at no additional cost, this allows policy hol</w:t>
      </w:r>
      <w:r w:rsidR="00CA6FCE" w:rsidRPr="000F202E">
        <w:rPr>
          <w:rFonts w:ascii="Arial" w:eastAsia="Times New Roman" w:hAnsi="Arial" w:cs="Arial"/>
          <w:color w:val="000000" w:themeColor="text1"/>
          <w:sz w:val="22"/>
          <w:szCs w:val="22"/>
        </w:rPr>
        <w:t>ders to change policies during the 8</w:t>
      </w:r>
      <w:r w:rsidR="00CA6FCE" w:rsidRPr="000F202E">
        <w:rPr>
          <w:rFonts w:ascii="Arial" w:eastAsia="Times New Roman" w:hAnsi="Arial" w:cs="Arial"/>
          <w:color w:val="000000" w:themeColor="text1"/>
          <w:sz w:val="22"/>
          <w:szCs w:val="22"/>
          <w:vertAlign w:val="superscript"/>
        </w:rPr>
        <w:t>th</w:t>
      </w:r>
      <w:r w:rsidR="00CA6FCE" w:rsidRPr="000F202E">
        <w:rPr>
          <w:rFonts w:ascii="Arial" w:eastAsia="Times New Roman" w:hAnsi="Arial" w:cs="Arial"/>
          <w:color w:val="000000" w:themeColor="text1"/>
          <w:sz w:val="22"/>
          <w:szCs w:val="22"/>
        </w:rPr>
        <w:t xml:space="preserve"> policy year without facing Surrender fees.</w:t>
      </w:r>
    </w:p>
    <w:p w14:paraId="35ADDA30" w14:textId="496C4FA5"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Minimum Indexed Benefit Rider (Automatic)</w:t>
      </w:r>
      <w:r w:rsidR="00B86D2D" w:rsidRPr="000F202E">
        <w:rPr>
          <w:rFonts w:ascii="Arial" w:eastAsia="Times New Roman" w:hAnsi="Arial" w:cs="Arial"/>
          <w:color w:val="000000" w:themeColor="text1"/>
          <w:sz w:val="22"/>
          <w:szCs w:val="22"/>
        </w:rPr>
        <w:t xml:space="preserve">: included at no additional cost, </w:t>
      </w:r>
      <w:r w:rsidR="005C094A" w:rsidRPr="000F202E">
        <w:rPr>
          <w:rFonts w:ascii="Arial" w:eastAsia="Times New Roman" w:hAnsi="Arial" w:cs="Arial"/>
          <w:color w:val="000000" w:themeColor="text1"/>
          <w:sz w:val="22"/>
          <w:szCs w:val="22"/>
        </w:rPr>
        <w:t>it may provide an Indexed Termination Credit (ITC)</w:t>
      </w:r>
      <w:r w:rsidR="00AD50BC" w:rsidRPr="000F202E">
        <w:rPr>
          <w:rFonts w:ascii="Arial" w:eastAsia="Times New Roman" w:hAnsi="Arial" w:cs="Arial"/>
          <w:color w:val="000000" w:themeColor="text1"/>
          <w:sz w:val="22"/>
          <w:szCs w:val="22"/>
        </w:rPr>
        <w:t xml:space="preserve"> when </w:t>
      </w:r>
      <w:r w:rsidR="00FC2A6A" w:rsidRPr="000F202E">
        <w:rPr>
          <w:rFonts w:ascii="Arial" w:eastAsia="Times New Roman" w:hAnsi="Arial" w:cs="Arial"/>
          <w:color w:val="000000" w:themeColor="text1"/>
          <w:sz w:val="22"/>
          <w:szCs w:val="22"/>
        </w:rPr>
        <w:t xml:space="preserve">Segment Indexed Interest is less than the sum of the Indexed Fixed Option Charges. ITC adds to the Net Cash Surrender Value, can impact the Death Benefit, and can impact </w:t>
      </w:r>
      <w:proofErr w:type="gramStart"/>
      <w:r w:rsidR="00FC2A6A" w:rsidRPr="000F202E">
        <w:rPr>
          <w:rFonts w:ascii="Arial" w:eastAsia="Times New Roman" w:hAnsi="Arial" w:cs="Arial"/>
          <w:color w:val="000000" w:themeColor="text1"/>
          <w:sz w:val="22"/>
          <w:szCs w:val="22"/>
        </w:rPr>
        <w:t>whether or not</w:t>
      </w:r>
      <w:proofErr w:type="gramEnd"/>
      <w:r w:rsidR="00FC2A6A" w:rsidRPr="000F202E">
        <w:rPr>
          <w:rFonts w:ascii="Arial" w:eastAsia="Times New Roman" w:hAnsi="Arial" w:cs="Arial"/>
          <w:color w:val="000000" w:themeColor="text1"/>
          <w:sz w:val="22"/>
          <w:szCs w:val="22"/>
        </w:rPr>
        <w:t xml:space="preserve"> a policy lapses and the amount of payment due during a grace period.</w:t>
      </w:r>
    </w:p>
    <w:p w14:paraId="10D839F1" w14:textId="6BFA8019"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proofErr w:type="spellStart"/>
      <w:r w:rsidRPr="000F202E">
        <w:rPr>
          <w:rFonts w:ascii="Arial" w:eastAsia="Times New Roman" w:hAnsi="Arial" w:cs="Arial"/>
          <w:color w:val="000000" w:themeColor="text1"/>
          <w:sz w:val="22"/>
          <w:szCs w:val="22"/>
        </w:rPr>
        <w:t>Overloan</w:t>
      </w:r>
      <w:proofErr w:type="spellEnd"/>
      <w:r w:rsidRPr="000F202E">
        <w:rPr>
          <w:rFonts w:ascii="Arial" w:eastAsia="Times New Roman" w:hAnsi="Arial" w:cs="Arial"/>
          <w:color w:val="000000" w:themeColor="text1"/>
          <w:sz w:val="22"/>
          <w:szCs w:val="22"/>
        </w:rPr>
        <w:t xml:space="preserve"> Protection 3 Rider (Automatic)</w:t>
      </w:r>
      <w:r w:rsidR="00AC0BDC" w:rsidRPr="000F202E">
        <w:rPr>
          <w:rFonts w:ascii="Arial" w:eastAsia="Times New Roman" w:hAnsi="Arial" w:cs="Arial"/>
          <w:color w:val="000000" w:themeColor="text1"/>
          <w:sz w:val="22"/>
          <w:szCs w:val="22"/>
        </w:rPr>
        <w:t>: When exercised, it guarantees the policy will not lapse. Includes a one-time rider charge when exercised.</w:t>
      </w:r>
    </w:p>
    <w:p w14:paraId="1EF9DD16" w14:textId="7D7FAF6A"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Accelerated Death Benefit Rider for Chronic and Terminal Illness (Premier Living Benefits Rider 2) (Optional)</w:t>
      </w:r>
    </w:p>
    <w:p w14:paraId="7F89F975" w14:textId="52F1CDC8" w:rsidR="00812EA1" w:rsidRPr="000F202E" w:rsidRDefault="00812EA1" w:rsidP="00CA6FC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lastRenderedPageBreak/>
        <w:t>No Lapse Guarantee Rider (Short-Term No Lapse Guarantee) (Automatic)</w:t>
      </w:r>
      <w:r w:rsidR="00CA6FCE" w:rsidRPr="000F202E">
        <w:rPr>
          <w:rFonts w:ascii="Arial" w:eastAsia="Times New Roman" w:hAnsi="Arial" w:cs="Arial"/>
          <w:color w:val="000000" w:themeColor="text1"/>
          <w:sz w:val="22"/>
          <w:szCs w:val="22"/>
        </w:rPr>
        <w:t xml:space="preserve">: In effect </w:t>
      </w:r>
      <w:proofErr w:type="gramStart"/>
      <w:r w:rsidR="00CA6FCE" w:rsidRPr="000F202E">
        <w:rPr>
          <w:rFonts w:ascii="Arial" w:eastAsia="Times New Roman" w:hAnsi="Arial" w:cs="Arial"/>
          <w:color w:val="000000" w:themeColor="text1"/>
          <w:sz w:val="22"/>
          <w:szCs w:val="22"/>
        </w:rPr>
        <w:t>as long as</w:t>
      </w:r>
      <w:proofErr w:type="gramEnd"/>
      <w:r w:rsidR="00CA6FCE" w:rsidRPr="000F202E">
        <w:rPr>
          <w:rFonts w:ascii="Arial" w:eastAsia="Times New Roman" w:hAnsi="Arial" w:cs="Arial"/>
          <w:color w:val="000000" w:themeColor="text1"/>
          <w:sz w:val="22"/>
          <w:szCs w:val="22"/>
        </w:rPr>
        <w:t xml:space="preserve"> minimum premium is paid, this guarantees Death Benefit</w:t>
      </w:r>
      <w:r w:rsidR="0033494E" w:rsidRPr="000F202E">
        <w:rPr>
          <w:rFonts w:ascii="Arial" w:eastAsia="Times New Roman" w:hAnsi="Arial" w:cs="Arial"/>
          <w:color w:val="000000" w:themeColor="text1"/>
          <w:sz w:val="22"/>
          <w:szCs w:val="22"/>
        </w:rPr>
        <w:t xml:space="preserve"> for the duration of the STNLG,</w:t>
      </w:r>
    </w:p>
    <w:p w14:paraId="6B33F9A8" w14:textId="7FF6EA0B" w:rsidR="00812EA1" w:rsidRPr="000F202E" w:rsidRDefault="00812EA1" w:rsidP="00AC0BD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r w:rsidRPr="000F202E">
        <w:rPr>
          <w:rFonts w:ascii="Arial" w:eastAsia="Times New Roman" w:hAnsi="Arial" w:cs="Arial"/>
          <w:color w:val="000000" w:themeColor="text1"/>
          <w:sz w:val="22"/>
          <w:szCs w:val="22"/>
        </w:rPr>
        <w:t>Accelerated Death Benefit Rider for Terminal Illness (Terminal Illness Rider) (Optional)</w:t>
      </w:r>
      <w:r w:rsidR="00AC0BDC" w:rsidRPr="000F202E">
        <w:rPr>
          <w:rFonts w:ascii="Arial" w:eastAsia="Times New Roman" w:hAnsi="Arial" w:cs="Arial"/>
          <w:color w:val="000000" w:themeColor="text1"/>
          <w:sz w:val="22"/>
          <w:szCs w:val="22"/>
        </w:rPr>
        <w:t>: Those with a life expectancy of 12 months or less can access benefits early. There is no upfront cost, but the death benefit is decreased by more than the amount paid out. It is added to the policy unless a policyholder specifically declines.</w:t>
      </w:r>
    </w:p>
    <w:p w14:paraId="3601F8C6" w14:textId="77777777" w:rsidR="00812EA1" w:rsidRPr="000F202E" w:rsidRDefault="00812EA1" w:rsidP="00CA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480" w:lineRule="auto"/>
        <w:rPr>
          <w:rFonts w:ascii="Arial" w:eastAsia="Times New Roman" w:hAnsi="Arial" w:cs="Arial"/>
          <w:color w:val="000000" w:themeColor="text1"/>
          <w:sz w:val="22"/>
          <w:szCs w:val="22"/>
        </w:rPr>
      </w:pPr>
    </w:p>
    <w:p w14:paraId="615A4138" w14:textId="5E84F0D6" w:rsidR="00812EA1" w:rsidRPr="000F202E" w:rsidRDefault="00812EA1" w:rsidP="00CA6FCE">
      <w:pPr>
        <w:suppressAutoHyphens/>
        <w:spacing w:line="480" w:lineRule="auto"/>
        <w:rPr>
          <w:rFonts w:ascii="Arial" w:hAnsi="Arial" w:cs="Arial"/>
          <w:color w:val="000000" w:themeColor="text1"/>
          <w:sz w:val="22"/>
          <w:szCs w:val="22"/>
        </w:rPr>
      </w:pPr>
    </w:p>
    <w:p w14:paraId="2D18265F" w14:textId="1284E22E" w:rsidR="00812EA1" w:rsidRPr="000F202E" w:rsidRDefault="00812EA1" w:rsidP="00CA6FCE">
      <w:pPr>
        <w:suppressAutoHyphens/>
        <w:spacing w:line="480" w:lineRule="auto"/>
        <w:rPr>
          <w:rFonts w:ascii="Arial" w:hAnsi="Arial" w:cs="Arial"/>
          <w:color w:val="000000" w:themeColor="text1"/>
          <w:sz w:val="22"/>
          <w:szCs w:val="22"/>
        </w:rPr>
      </w:pPr>
    </w:p>
    <w:p w14:paraId="0EE5C61F" w14:textId="1FEE4AB6" w:rsidR="00812EA1" w:rsidRPr="000F202E" w:rsidRDefault="00812EA1" w:rsidP="00CA6FCE">
      <w:pPr>
        <w:suppressAutoHyphens/>
        <w:spacing w:line="480" w:lineRule="auto"/>
        <w:rPr>
          <w:rFonts w:ascii="Arial" w:hAnsi="Arial" w:cs="Arial"/>
          <w:color w:val="000000" w:themeColor="text1"/>
          <w:sz w:val="22"/>
          <w:szCs w:val="22"/>
        </w:rPr>
      </w:pPr>
    </w:p>
    <w:p w14:paraId="13B4EB7B" w14:textId="77777777" w:rsidR="00812EA1" w:rsidRPr="000F202E" w:rsidRDefault="00812EA1" w:rsidP="00CA6FCE">
      <w:pPr>
        <w:suppressAutoHyphens/>
        <w:spacing w:line="480" w:lineRule="auto"/>
        <w:rPr>
          <w:rFonts w:ascii="Arial" w:hAnsi="Arial" w:cs="Arial"/>
          <w:color w:val="000000" w:themeColor="text1"/>
          <w:sz w:val="22"/>
          <w:szCs w:val="22"/>
        </w:rPr>
      </w:pPr>
    </w:p>
    <w:sectPr w:rsidR="00812EA1" w:rsidRPr="000F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92441"/>
    <w:multiLevelType w:val="hybridMultilevel"/>
    <w:tmpl w:val="0EB2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346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7CB"/>
    <w:rsid w:val="000F202E"/>
    <w:rsid w:val="00111A6F"/>
    <w:rsid w:val="002A5EDC"/>
    <w:rsid w:val="0030716A"/>
    <w:rsid w:val="0033494E"/>
    <w:rsid w:val="00441441"/>
    <w:rsid w:val="005C094A"/>
    <w:rsid w:val="00812EA1"/>
    <w:rsid w:val="008D3693"/>
    <w:rsid w:val="00AC0BDC"/>
    <w:rsid w:val="00AD50BC"/>
    <w:rsid w:val="00B86D2D"/>
    <w:rsid w:val="00CA6FCE"/>
    <w:rsid w:val="00D137CB"/>
    <w:rsid w:val="00DB3F0F"/>
    <w:rsid w:val="00E00592"/>
    <w:rsid w:val="00FC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B65E"/>
  <w15:chartTrackingRefBased/>
  <w15:docId w15:val="{292BF31C-1979-584A-81F2-A4BF5C86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EA1"/>
    <w:rPr>
      <w:rFonts w:ascii="Courier New" w:eastAsia="Times New Roman" w:hAnsi="Courier New" w:cs="Courier New"/>
      <w:sz w:val="20"/>
      <w:szCs w:val="20"/>
    </w:rPr>
  </w:style>
  <w:style w:type="paragraph" w:styleId="ListParagraph">
    <w:name w:val="List Paragraph"/>
    <w:basedOn w:val="Normal"/>
    <w:uiPriority w:val="34"/>
    <w:qFormat/>
    <w:rsid w:val="00812E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Finch</dc:creator>
  <cp:keywords/>
  <dc:description/>
  <cp:lastModifiedBy>Danny Finch</cp:lastModifiedBy>
  <cp:revision>6</cp:revision>
  <dcterms:created xsi:type="dcterms:W3CDTF">2022-08-30T02:26:00Z</dcterms:created>
  <dcterms:modified xsi:type="dcterms:W3CDTF">2022-09-02T18:54:00Z</dcterms:modified>
</cp:coreProperties>
</file>