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AIFundOS Infrastructure and Strategy Roadmap</w:t>
      </w:r>
    </w:p>
    <w:p>
      <w:pPr>
        <w:jc w:val="left"/>
      </w:pPr>
      <w:r>
        <w:rPr>
          <w:rFonts w:ascii="Aptos" w:hAnsi="Aptos"/>
          <w:color w:val="595959"/>
          <w:sz w:val="26"/>
        </w:rPr>
        <w:t>Always-on operations, market data, execution, and strategy expansion</w:t>
      </w:r>
    </w:p>
    <w:p>
      <w:pPr>
        <w:spacing w:after="360"/>
      </w:pPr>
      <w:r>
        <w:rPr>
          <w:rFonts w:ascii="Aptos" w:hAnsi="Aptos"/>
          <w:color w:val="595959"/>
          <w:sz w:val="19"/>
        </w:rPr>
        <w:t>Updated October 8, 2026</w:t>
      </w:r>
    </w:p>
    <w:p>
      <w:pPr>
        <w:pStyle w:val="Heading1"/>
      </w:pPr>
      <w:r>
        <w:t>Purpose</w:t>
      </w:r>
    </w:p>
    <w:p>
      <w:r>
        <w:t>This roadmap moves AIFundOS from a laptop-dependent autonomous paper-trading system to an always-on, event-driven research and paper-execution platform. The immediate priority is dependable uptime and execution-quality equity data. Faster or more complex strategies should be introduced only after the supporting infrastructure, data, and evidence gates are working reliably.</w:t>
      </w:r>
    </w:p>
    <w:p>
      <w:r>
        <w:t>The main conclusion is straightforward: an always-on host solves availability, while a streaming feed and event-driven execution engine solve market awareness and order realism. All three are needed before AIFundOS can responsibly test day trading, options, short selling, or scalping at meaningful scale.</w:t>
      </w:r>
    </w:p>
    <w:p>
      <w:pPr>
        <w:pStyle w:val="Heading1"/>
      </w:pPr>
      <w:r>
        <w:t>Roadmap at a Glance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720"/>
            <w:shd w:fill="17365D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Phase</w:t>
            </w:r>
          </w:p>
        </w:tc>
        <w:tc>
          <w:tcPr>
            <w:tcW w:type="dxa" w:w="2232"/>
            <w:shd w:fill="17365D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Workstream</w:t>
            </w:r>
          </w:p>
        </w:tc>
        <w:tc>
          <w:tcPr>
            <w:tcW w:type="dxa" w:w="4680"/>
            <w:shd w:fill="17365D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Outcome</w:t>
            </w:r>
          </w:p>
        </w:tc>
        <w:tc>
          <w:tcPr>
            <w:tcW w:type="dxa" w:w="1800"/>
            <w:shd w:fill="17365D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720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1</w:t>
            </w:r>
          </w:p>
        </w:tc>
        <w:tc>
          <w:tcPr>
            <w:tcW w:type="dxa" w:w="2232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sz w:val="18"/>
              </w:rPr>
              <w:t>Always-On Host</w:t>
            </w:r>
          </w:p>
        </w:tc>
        <w:tc>
          <w:tcPr>
            <w:tcW w:type="dxa" w:w="4680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One authoritative worker that stays online</w:t>
            </w:r>
          </w:p>
        </w:tc>
        <w:tc>
          <w:tcPr>
            <w:tcW w:type="dxa" w:w="1800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Not started</w:t>
            </w:r>
          </w:p>
        </w:tc>
      </w:tr>
      <w:tr>
        <w:tc>
          <w:tcPr>
            <w:tcW w:type="dxa" w:w="720"/>
            <w:shd w:fill="F3F7FB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2</w:t>
            </w:r>
          </w:p>
        </w:tc>
        <w:tc>
          <w:tcPr>
            <w:tcW w:type="dxa" w:w="2232"/>
            <w:shd w:fill="F3F7FB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sz w:val="18"/>
              </w:rPr>
              <w:t>Streaming Equity Data</w:t>
            </w:r>
          </w:p>
        </w:tc>
        <w:tc>
          <w:tcPr>
            <w:tcW w:type="dxa" w:w="4680"/>
            <w:shd w:fill="F3F7FB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Fresh quotes, bid and ask, one-minute bars</w:t>
            </w:r>
          </w:p>
        </w:tc>
        <w:tc>
          <w:tcPr>
            <w:tcW w:type="dxa" w:w="1800"/>
            <w:shd w:fill="F3F7FB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Not started</w:t>
            </w:r>
          </w:p>
        </w:tc>
      </w:tr>
      <w:tr>
        <w:tc>
          <w:tcPr>
            <w:tcW w:type="dxa" w:w="720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3</w:t>
            </w:r>
          </w:p>
        </w:tc>
        <w:tc>
          <w:tcPr>
            <w:tcW w:type="dxa" w:w="2232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sz w:val="18"/>
              </w:rPr>
              <w:t>Event-Driven Execution</w:t>
            </w:r>
          </w:p>
        </w:tc>
        <w:tc>
          <w:tcPr>
            <w:tcW w:type="dxa" w:w="4680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Durable order, fill, position, and recovery flow</w:t>
            </w:r>
          </w:p>
        </w:tc>
        <w:tc>
          <w:tcPr>
            <w:tcW w:type="dxa" w:w="1800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Not started</w:t>
            </w:r>
          </w:p>
        </w:tc>
      </w:tr>
      <w:tr>
        <w:tc>
          <w:tcPr>
            <w:tcW w:type="dxa" w:w="720"/>
            <w:shd w:fill="F3F7FB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4</w:t>
            </w:r>
          </w:p>
        </w:tc>
        <w:tc>
          <w:tcPr>
            <w:tcW w:type="dxa" w:w="2232"/>
            <w:shd w:fill="F3F7FB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sz w:val="18"/>
              </w:rPr>
              <w:t>Strategy Data</w:t>
            </w:r>
          </w:p>
        </w:tc>
        <w:tc>
          <w:tcPr>
            <w:tcW w:type="dxa" w:w="4680"/>
            <w:shd w:fill="F3F7FB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Options and short-selling data with realistic costs</w:t>
            </w:r>
          </w:p>
        </w:tc>
        <w:tc>
          <w:tcPr>
            <w:tcW w:type="dxa" w:w="1800"/>
            <w:shd w:fill="F3F7FB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Blocked on data</w:t>
            </w:r>
          </w:p>
        </w:tc>
      </w:tr>
      <w:tr>
        <w:tc>
          <w:tcPr>
            <w:tcW w:type="dxa" w:w="720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5</w:t>
            </w:r>
          </w:p>
        </w:tc>
        <w:tc>
          <w:tcPr>
            <w:tcW w:type="dxa" w:w="2232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sz w:val="18"/>
              </w:rPr>
              <w:t>Staged Strategy Rollout</w:t>
            </w:r>
          </w:p>
        </w:tc>
        <w:tc>
          <w:tcPr>
            <w:tcW w:type="dxa" w:w="4680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Expand only after infrastructure and evidence gates</w:t>
            </w:r>
          </w:p>
        </w:tc>
        <w:tc>
          <w:tcPr>
            <w:tcW w:type="dxa" w:w="1800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Swing active</w:t>
            </w:r>
          </w:p>
        </w:tc>
      </w:tr>
    </w:tbl>
    <w:p/>
    <w:p>
      <w:pPr>
        <w:pStyle w:val="Heading1"/>
      </w:pPr>
      <w:r>
        <w:t>Current State</w:t>
      </w:r>
    </w:p>
    <w:p>
      <w:pPr>
        <w:pStyle w:val="Heading2"/>
      </w:pPr>
      <w:r>
        <w:t>Operational Today</w:t>
      </w:r>
    </w:p>
    <w:p>
      <w:pPr>
        <w:pStyle w:val="ListBullet"/>
      </w:pPr>
      <w:r>
        <w:t>Autonomous paper-only swing and position workflow.</w:t>
      </w:r>
    </w:p>
    <w:p>
      <w:pPr>
        <w:pStyle w:val="ListBullet"/>
      </w:pPr>
      <w:r>
        <w:t>Morning brief, risk review, portfolio governor, trade journal, paper ledger, memory, email alerts, and end-of-day review.</w:t>
      </w:r>
    </w:p>
    <w:p>
      <w:pPr>
        <w:pStyle w:val="ListBullet"/>
      </w:pPr>
      <w:r>
        <w:t>Desktop watchdog every 10 minutes during the trading session and paper entry or exit checks every 5 minutes.</w:t>
      </w:r>
    </w:p>
    <w:p>
      <w:pPr>
        <w:pStyle w:val="ListBullet"/>
      </w:pPr>
      <w:r>
        <w:t>Tiingo authenticated equity data with Yahoo fallback.</w:t>
      </w:r>
    </w:p>
    <w:p>
      <w:pPr>
        <w:pStyle w:val="ListBullet"/>
      </w:pPr>
      <w:r>
        <w:t>Benzinga, Finnhub, FRED, SEC EDGAR, and Quiver integrations.</w:t>
      </w:r>
    </w:p>
    <w:p>
      <w:pPr>
        <w:pStyle w:val="ListBullet"/>
      </w:pPr>
      <w:r>
        <w:t>Docker worker and dashboard deployment package.</w:t>
      </w:r>
    </w:p>
    <w:p>
      <w:pPr>
        <w:pStyle w:val="ListBullet"/>
      </w:pPr>
      <w:r>
        <w:t>Data-quality gate currently passes for the swing workflow.</w:t>
      </w:r>
    </w:p>
    <w:p>
      <w:pPr>
        <w:pStyle w:val="Heading2"/>
      </w:pPr>
      <w:r>
        <w:t>Important Limitations</w:t>
      </w:r>
    </w:p>
    <w:p>
      <w:pPr>
        <w:pStyle w:val="ListBullet"/>
      </w:pPr>
      <w:r>
        <w:t>The Mac laptop remains the active host and stops working when it is asleep, offline, or traveling.</w:t>
      </w:r>
    </w:p>
    <w:p>
      <w:pPr>
        <w:pStyle w:val="ListBullet"/>
      </w:pPr>
      <w:r>
        <w:t>Equity data is polled rather than consumed as a continuous streaming feed.</w:t>
      </w:r>
    </w:p>
    <w:p>
      <w:pPr>
        <w:pStyle w:val="ListBullet"/>
      </w:pPr>
      <w:r>
        <w:t>Provider checks can fall back to prior closes or cached observations.</w:t>
      </w:r>
    </w:p>
    <w:p>
      <w:pPr>
        <w:pStyle w:val="ListBullet"/>
      </w:pPr>
      <w:r>
        <w:t>Options data does not provide dependable OPRA-quality quotes, historical Greeks, implied-volatility history, or options flow.</w:t>
      </w:r>
    </w:p>
    <w:p>
      <w:pPr>
        <w:pStyle w:val="ListBullet"/>
      </w:pPr>
      <w:r>
        <w:t>No borrow, locate, short-sale restriction, margin, or borrow-fee model exists for short selling.</w:t>
      </w:r>
    </w:p>
    <w:p>
      <w:pPr>
        <w:pStyle w:val="ListBullet"/>
      </w:pPr>
      <w:r>
        <w:t>No continuous event engine supervises same-session strategies.</w:t>
      </w:r>
    </w:p>
    <w:p>
      <w:pPr>
        <w:pStyle w:val="ListBullet"/>
      </w:pPr>
      <w:r>
        <w:t>Costs and lifecycle handling remain incomplete for dividends, interest, borrow fees, assignment, and exercise.</w:t>
      </w:r>
    </w:p>
    <w:p>
      <w:pPr>
        <w:pStyle w:val="ListBullet"/>
      </w:pPr>
      <w:r>
        <w:t>Tactical evidence remains below the 30-completed-trade minimum gate.</w:t>
      </w:r>
    </w:p>
    <w:p>
      <w:pPr>
        <w:pStyle w:val="Heading1"/>
        <w:keepNext w:val="1"/>
      </w:pPr>
      <w:r>
        <w:t>Phase 1  Always-On Private Host</w:t>
      </w:r>
    </w:p>
    <w:p>
      <w:r>
        <w:rPr>
          <w:b/>
        </w:rPr>
        <w:t xml:space="preserve">Purpose  </w:t>
      </w:r>
      <w:r>
        <w:t>Run one authoritative AIFundOS worker continuously on a wired Linux mini PC, Mac mini, or private cloud host.</w:t>
      </w:r>
    </w:p>
    <w:p>
      <w:pPr>
        <w:pStyle w:val="Heading2"/>
      </w:pPr>
      <w:r>
        <w:t>Required Work</w:t>
      </w:r>
    </w:p>
    <w:p>
      <w:pPr>
        <w:pStyle w:val="Checklist"/>
      </w:pPr>
      <w:r>
        <w:t>[ ]  Choose the host and connect it through wired Ethernet.</w:t>
      </w:r>
    </w:p>
    <w:p>
      <w:pPr>
        <w:pStyle w:val="Checklist"/>
      </w:pPr>
      <w:r>
        <w:t>[ ]  Add UPS battery protection for a home host.</w:t>
      </w:r>
    </w:p>
    <w:p>
      <w:pPr>
        <w:pStyle w:val="Checklist"/>
      </w:pPr>
      <w:r>
        <w:t>[ ]  Deploy the existing Docker Compose worker and dashboard.</w:t>
      </w:r>
    </w:p>
    <w:p>
      <w:pPr>
        <w:pStyle w:val="Checklist"/>
      </w:pPr>
      <w:r>
        <w:t>[ ]  Enable automatic restart after a crash, reboot, or power interruption.</w:t>
      </w:r>
    </w:p>
    <w:p>
      <w:pPr>
        <w:pStyle w:val="Checklist"/>
      </w:pPr>
      <w:r>
        <w:t>[ ]  Use Tailscale or another private authenticated tunnel; do not expose Streamlit directly to the public internet.</w:t>
      </w:r>
    </w:p>
    <w:p>
      <w:pPr>
        <w:pStyle w:val="Checklist"/>
      </w:pPr>
      <w:r>
        <w:t>[ ]  Store secrets securely and enable encrypted backups.</w:t>
      </w:r>
    </w:p>
    <w:p>
      <w:pPr>
        <w:pStyle w:val="Checklist"/>
      </w:pPr>
      <w:r>
        <w:t>[ ]  Persist the portfolio ledger, memory database, reports, and data cache.</w:t>
      </w:r>
    </w:p>
    <w:p>
      <w:pPr>
        <w:pStyle w:val="Checklist"/>
      </w:pPr>
      <w:r>
        <w:t>[ ]  Synchronize system time and enforce the America New York market clock.</w:t>
      </w:r>
    </w:p>
    <w:p>
      <w:pPr>
        <w:pStyle w:val="Checklist"/>
      </w:pPr>
      <w:r>
        <w:t>[ ]  Alert on missed runs, stale files, failed email, provider failures, and disk pressure.</w:t>
      </w:r>
    </w:p>
    <w:p>
      <w:pPr>
        <w:pStyle w:val="Checklist"/>
      </w:pPr>
      <w:r>
        <w:t>[ ]  Permit exactly one ledger-writing worker; all dashboard replicas remain read-only.</w:t>
      </w:r>
    </w:p>
    <w:p>
      <w:pPr>
        <w:pStyle w:val="Heading2"/>
      </w:pPr>
      <w:r>
        <w:t>Definition of Done</w:t>
      </w:r>
    </w:p>
    <w:p>
      <w:pPr>
        <w:pStyle w:val="ListBullet"/>
      </w:pPr>
      <w:r>
        <w:t>Twenty consecutive U.S. market sessions with at least 99.5 percent scheduled-service availability.</w:t>
      </w:r>
    </w:p>
    <w:p>
      <w:pPr>
        <w:pStyle w:val="ListBullet"/>
      </w:pPr>
      <w:r>
        <w:t>No missed morning brief, market-session worker, end-of-day review, or Friday review caused by host sleep or Wi-Fi loss.</w:t>
      </w:r>
    </w:p>
    <w:p>
      <w:pPr>
        <w:pStyle w:val="ListBullet"/>
      </w:pPr>
      <w:r>
        <w:t>Successful restart recovery without duplicate fills or ledger divergence.</w:t>
      </w:r>
    </w:p>
    <w:p>
      <w:pPr>
        <w:pStyle w:val="ListBullet"/>
      </w:pPr>
      <w:r>
        <w:t>A tested encrypted backup and restore of portfolio and memory data.</w:t>
      </w:r>
    </w:p>
    <w:p>
      <w:pPr>
        <w:pStyle w:val="Heading1"/>
        <w:keepNext w:val="1"/>
      </w:pPr>
      <w:r>
        <w:t>Phase 2  Streaming Equity Data</w:t>
      </w:r>
    </w:p>
    <w:p>
      <w:r>
        <w:rPr>
          <w:b/>
        </w:rPr>
        <w:t xml:space="preserve">Purpose  </w:t>
      </w:r>
      <w:r>
        <w:t>Give AIFundOS continuous, timestamped market awareness and retain an independent provider for validation.</w:t>
      </w:r>
    </w:p>
    <w:p>
      <w:pPr>
        <w:pStyle w:val="Heading2"/>
      </w:pPr>
      <w:r>
        <w:t>Required Work</w:t>
      </w:r>
    </w:p>
    <w:p>
      <w:pPr>
        <w:pStyle w:val="Checklist"/>
      </w:pPr>
      <w:r>
        <w:t>[ ]  Select a primary provider with WebSocket streaming quotes.</w:t>
      </w:r>
    </w:p>
    <w:p>
      <w:pPr>
        <w:pStyle w:val="Checklist"/>
      </w:pPr>
      <w:r>
        <w:t>[ ]  Normalize symbol, exchange, event time, receive time, and sequence identifiers where available.</w:t>
      </w:r>
    </w:p>
    <w:p>
      <w:pPr>
        <w:pStyle w:val="Checklist"/>
      </w:pPr>
      <w:r>
        <w:t>[ ]  Capture last trade, bid, ask, spread, size, cumulative volume, and session status.</w:t>
      </w:r>
    </w:p>
    <w:p>
      <w:pPr>
        <w:pStyle w:val="Checklist"/>
      </w:pPr>
      <w:r>
        <w:t>[ ]  Build one-minute OHLCV bars and retain prior adjusted close.</w:t>
      </w:r>
    </w:p>
    <w:p>
      <w:pPr>
        <w:pStyle w:val="Checklist"/>
      </w:pPr>
      <w:r>
        <w:t>[ ]  Capture split, dividend, symbol-change, and trading-halt context.</w:t>
      </w:r>
    </w:p>
    <w:p>
      <w:pPr>
        <w:pStyle w:val="Checklist"/>
      </w:pPr>
      <w:r>
        <w:t>[ ]  Reject stale and out-of-order quotes.</w:t>
      </w:r>
    </w:p>
    <w:p>
      <w:pPr>
        <w:pStyle w:val="Checklist"/>
      </w:pPr>
      <w:r>
        <w:t>[ ]  Reject execution when bid, ask, or timestamps are missing.</w:t>
      </w:r>
    </w:p>
    <w:p>
      <w:pPr>
        <w:pStyle w:val="Checklist"/>
      </w:pPr>
      <w:r>
        <w:t>[ ]  Detect material disagreement between primary and validation providers.</w:t>
      </w:r>
    </w:p>
    <w:p>
      <w:pPr>
        <w:pStyle w:val="Checklist"/>
      </w:pPr>
      <w:r>
        <w:t>[ ]  Persist normalized events so decisions can be replayed and audited.</w:t>
      </w:r>
    </w:p>
    <w:p>
      <w:pPr>
        <w:pStyle w:val="Checklist"/>
      </w:pPr>
      <w:r>
        <w:t>[ ]  Separate regular-session, extended-hours, and closed-market observations.</w:t>
      </w:r>
    </w:p>
    <w:p>
      <w:pPr>
        <w:pStyle w:val="Heading2"/>
      </w:pPr>
      <w:r>
        <w:t>Definition of Done</w:t>
      </w:r>
    </w:p>
    <w:p>
      <w:pPr>
        <w:pStyle w:val="ListBullet"/>
      </w:pPr>
      <w:r>
        <w:t>At least 99.9 percent complete one-minute bars during regular market sessions for the active universe.</w:t>
      </w:r>
    </w:p>
    <w:p>
      <w:pPr>
        <w:pStyle w:val="ListBullet"/>
      </w:pPr>
      <w:r>
        <w:t>Quote age and provider status are visible on every execution decision.</w:t>
      </w:r>
    </w:p>
    <w:p>
      <w:pPr>
        <w:pStyle w:val="ListBullet"/>
      </w:pPr>
      <w:r>
        <w:t>Twenty sessions without fills based on stale, cached, or prior-close data.</w:t>
      </w:r>
    </w:p>
    <w:p>
      <w:pPr>
        <w:pStyle w:val="Heading1"/>
        <w:keepNext w:val="1"/>
      </w:pPr>
      <w:r>
        <w:t>Phase 3  Event-Driven Paper Execution</w:t>
      </w:r>
    </w:p>
    <w:p>
      <w:r>
        <w:rPr>
          <w:b/>
        </w:rPr>
        <w:t xml:space="preserve">Purpose  </w:t>
      </w:r>
      <w:r>
        <w:t>Replace interval-only checks with a durable pipeline from market event through trade review.</w:t>
      </w:r>
    </w:p>
    <w:p>
      <w:pPr>
        <w:pStyle w:val="Heading2"/>
      </w:pPr>
      <w:r>
        <w:t>Required Work</w:t>
      </w:r>
    </w:p>
    <w:p>
      <w:pPr>
        <w:pStyle w:val="Checklist"/>
      </w:pPr>
      <w:r>
        <w:t>[ ]  Create the pipeline: market event to candidate update to strategy gate to risk gate to working order to simulated fill to position supervision to exit to review.</w:t>
      </w:r>
    </w:p>
    <w:p>
      <w:pPr>
        <w:pStyle w:val="Checklist"/>
      </w:pPr>
      <w:r>
        <w:t>[ ]  Assign idempotent order and fill identifiers.</w:t>
      </w:r>
    </w:p>
    <w:p>
      <w:pPr>
        <w:pStyle w:val="Checklist"/>
      </w:pPr>
      <w:r>
        <w:t>[ ]  Prevent duplicate orders across crashes and restarts.</w:t>
      </w:r>
    </w:p>
    <w:p>
      <w:pPr>
        <w:pStyle w:val="Checklist"/>
      </w:pPr>
      <w:r>
        <w:t>[ ]  Add a gap-through-entry veto and mandatory re-underwriting after abnormal adverse gaps.</w:t>
      </w:r>
    </w:p>
    <w:p>
      <w:pPr>
        <w:pStyle w:val="Checklist"/>
      </w:pPr>
      <w:r>
        <w:t>[ ]  Model spread, slippage, liquidity, and partial fills.</w:t>
      </w:r>
    </w:p>
    <w:p>
      <w:pPr>
        <w:pStyle w:val="Checklist"/>
      </w:pPr>
      <w:r>
        <w:t>[ ]  Define behavior for trading halts and missing data.</w:t>
      </w:r>
    </w:p>
    <w:p>
      <w:pPr>
        <w:pStyle w:val="Checklist"/>
      </w:pPr>
      <w:r>
        <w:t>[ ]  Force same-day liquidation for day strategies.</w:t>
      </w:r>
    </w:p>
    <w:p>
      <w:pPr>
        <w:pStyle w:val="Checklist"/>
      </w:pPr>
      <w:r>
        <w:t>[ ]  Recover cleanly after restarts and reconcile the ledger.</w:t>
      </w:r>
    </w:p>
    <w:p>
      <w:pPr>
        <w:pStyle w:val="Checklist"/>
      </w:pPr>
      <w:r>
        <w:t>[ ]  Track the full funnel from discovery through realized profit or loss.</w:t>
      </w:r>
    </w:p>
    <w:p>
      <w:pPr>
        <w:pStyle w:val="Heading2"/>
      </w:pPr>
      <w:r>
        <w:t>Definition of Done</w:t>
      </w:r>
    </w:p>
    <w:p>
      <w:pPr>
        <w:pStyle w:val="ListBullet"/>
      </w:pPr>
      <w:r>
        <w:t>Zero duplicate fills across restart tests.</w:t>
      </w:r>
    </w:p>
    <w:p>
      <w:pPr>
        <w:pStyle w:val="ListBullet"/>
      </w:pPr>
      <w:r>
        <w:t>Every fill is traceable to the exact quote, strategy decision, risk decision, and working order.</w:t>
      </w:r>
    </w:p>
    <w:p>
      <w:pPr>
        <w:pStyle w:val="ListBullet"/>
      </w:pPr>
      <w:r>
        <w:t>Replay tests produce the same ledger result from the same event stream.</w:t>
      </w:r>
    </w:p>
    <w:p>
      <w:pPr>
        <w:pStyle w:val="Heading1"/>
        <w:keepNext w:val="1"/>
      </w:pPr>
      <w:r>
        <w:t>Phase 4  Strategy-Specific Data</w:t>
      </w:r>
    </w:p>
    <w:p>
      <w:r>
        <w:rPr>
          <w:b/>
        </w:rPr>
        <w:t xml:space="preserve">Purpose  </w:t>
      </w:r>
      <w:r>
        <w:t>Add the data and lifecycle controls required to test options and short selling realistically.</w:t>
      </w:r>
    </w:p>
    <w:p>
      <w:pPr>
        <w:pStyle w:val="Heading2"/>
      </w:pPr>
      <w:r>
        <w:t>Required Work</w:t>
      </w:r>
    </w:p>
    <w:p>
      <w:pPr>
        <w:pStyle w:val="Checklist"/>
      </w:pPr>
      <w:r>
        <w:t>[ ]  Options: connect OPRA-quality chains with bid, ask, Greeks, implied volatility, historical implied volatility, volume, open interest, and contract adjustments.</w:t>
      </w:r>
    </w:p>
    <w:p>
      <w:pPr>
        <w:pStyle w:val="Checklist"/>
      </w:pPr>
      <w:r>
        <w:t>[ ]  Options: model conservative multi-leg synchronization, assignment, exercise, expiration, and spread slippage.</w:t>
      </w:r>
    </w:p>
    <w:p>
      <w:pPr>
        <w:pStyle w:val="Checklist"/>
      </w:pPr>
      <w:r>
        <w:t>[ ]  Shorts: connect borrow availability, hard-to-borrow status, estimated borrow cost, short-sale restriction status, and margin requirements.</w:t>
      </w:r>
    </w:p>
    <w:p>
      <w:pPr>
        <w:pStyle w:val="Checklist"/>
      </w:pPr>
      <w:r>
        <w:t>[ ]  Shorts: model dividends owed, recall risk, and strict gap-loss controls.</w:t>
      </w:r>
    </w:p>
    <w:p>
      <w:pPr>
        <w:pStyle w:val="Heading2"/>
      </w:pPr>
      <w:r>
        <w:t>Definition of Done</w:t>
      </w:r>
    </w:p>
    <w:p>
      <w:pPr>
        <w:pStyle w:val="ListBullet"/>
      </w:pPr>
      <w:r>
        <w:t>No options strategy is enabled until quote, Greeks, lifecycle, and cost checks pass.</w:t>
      </w:r>
    </w:p>
    <w:p>
      <w:pPr>
        <w:pStyle w:val="ListBullet"/>
      </w:pPr>
      <w:r>
        <w:t>No short strategy is enabled until borrow, margin, restriction, and fee checks pass.</w:t>
      </w:r>
    </w:p>
    <w:p>
      <w:pPr>
        <w:pStyle w:val="ListBullet"/>
      </w:pPr>
      <w:r>
        <w:t>Paper results include realistic transaction and carrying costs.</w:t>
      </w:r>
    </w:p>
    <w:p>
      <w:pPr>
        <w:pStyle w:val="Heading1"/>
        <w:keepNext w:val="1"/>
      </w:pPr>
      <w:r>
        <w:t>Phase 5  Staged Strategy Introduction</w:t>
      </w:r>
    </w:p>
    <w:p>
      <w:r>
        <w:rPr>
          <w:b/>
        </w:rPr>
        <w:t xml:space="preserve">Purpose  </w:t>
      </w:r>
      <w:r>
        <w:t>Expand the Committee's trading freedom in controlled stages that generate useful evidence without producing unrealistic paper results.</w:t>
      </w:r>
    </w:p>
    <w:p>
      <w:pPr>
        <w:pStyle w:val="Heading2"/>
      </w:pPr>
      <w:r>
        <w:t>Required Work</w:t>
      </w:r>
    </w:p>
    <w:p>
      <w:pPr>
        <w:pStyle w:val="Checklist"/>
      </w:pPr>
      <w:r>
        <w:t>[ ]  Continue swing and position paper experiments under current risk constraints.</w:t>
      </w:r>
    </w:p>
    <w:p>
      <w:pPr>
        <w:pStyle w:val="Checklist"/>
      </w:pPr>
      <w:r>
        <w:t>[ ]  Add equity-short signals in shadow mode with no fills.</w:t>
      </w:r>
    </w:p>
    <w:p>
      <w:pPr>
        <w:pStyle w:val="Checklist"/>
      </w:pPr>
      <w:r>
        <w:t>[ ]  Enable small defined-risk paper shorts after the short-data gate passes.</w:t>
      </w:r>
    </w:p>
    <w:p>
      <w:pPr>
        <w:pStyle w:val="Checklist"/>
      </w:pPr>
      <w:r>
        <w:t>[ ]  Enable long calls and long puts after the options-data and lifecycle gates pass.</w:t>
      </w:r>
    </w:p>
    <w:p>
      <w:pPr>
        <w:pStyle w:val="Checklist"/>
      </w:pPr>
      <w:r>
        <w:t>[ ]  Enable day strategies only after 20 reliable always-on sessions and event-engine verification.</w:t>
      </w:r>
    </w:p>
    <w:p>
      <w:pPr>
        <w:pStyle w:val="Checklist"/>
      </w:pPr>
      <w:r>
        <w:t>[ ]  Consider scalping last and keep it disabled unless sub-minute supervision and realistic spread and slippage evidence justify it.</w:t>
      </w:r>
    </w:p>
    <w:p>
      <w:pPr>
        <w:pStyle w:val="Heading2"/>
      </w:pPr>
      <w:r>
        <w:t>Definition of Done</w:t>
      </w:r>
    </w:p>
    <w:p>
      <w:pPr>
        <w:pStyle w:val="ListBullet"/>
      </w:pPr>
      <w:r>
        <w:t>Each strategy family has enough completed observations to estimate expectancy after costs.</w:t>
      </w:r>
    </w:p>
    <w:p>
      <w:pPr>
        <w:pStyle w:val="ListBullet"/>
      </w:pPr>
      <w:r>
        <w:t>Risk increases are based on evidence, not simply on a strategy becoming technically available.</w:t>
      </w:r>
    </w:p>
    <w:p>
      <w:pPr>
        <w:pStyle w:val="ListBullet"/>
      </w:pPr>
      <w:r>
        <w:t>Underperforming strategy families can be paused independently without disrupting the rest of AIFundOS.</w:t>
      </w:r>
    </w:p>
    <w:p>
      <w:pPr>
        <w:pStyle w:val="Heading1"/>
      </w:pPr>
      <w:r>
        <w:t>Evidence and Risk Gates</w:t>
      </w:r>
    </w:p>
    <w:p>
      <w:r>
        <w:t>Infrastructure readiness and investment edge are separate questions. Reliable uptime does not prove a strategy is profitable, and promising backtests do not make an unreliable execution system safe. Both gates must pass before AIFundOS increases autonomy or risk.</w:t>
      </w:r>
    </w:p>
    <w:p>
      <w:pPr>
        <w:pStyle w:val="ListBullet"/>
      </w:pPr>
      <w:r>
        <w:t>Keep tactical risk constrained until at least 30 autonomous tactical trades close.</w:t>
      </w:r>
    </w:p>
    <w:p>
      <w:pPr>
        <w:pStyle w:val="ListBullet"/>
      </w:pPr>
      <w:r>
        <w:t>Evaluate expectancy after spread, slippage, and modeled costs.</w:t>
      </w:r>
    </w:p>
    <w:p>
      <w:pPr>
        <w:pStyle w:val="ListBullet"/>
      </w:pPr>
      <w:r>
        <w:t>Track win rate, average win, average loss, drawdown, profit factor, exposure, and benchmark-relative return by strategy family.</w:t>
      </w:r>
    </w:p>
    <w:p>
      <w:pPr>
        <w:pStyle w:val="ListBullet"/>
      </w:pPr>
      <w:r>
        <w:t>Require out-of-sample or walk-forward evidence before increasing size.</w:t>
      </w:r>
    </w:p>
    <w:p>
      <w:pPr>
        <w:pStyle w:val="ListBullet"/>
      </w:pPr>
      <w:r>
        <w:t>Block any strategy that lacks its required data even when the overall data-quality score is high.</w:t>
      </w:r>
    </w:p>
    <w:p>
      <w:pPr>
        <w:pStyle w:val="Heading1"/>
      </w:pPr>
      <w:r>
        <w:t>Recommended Build Order</w:t>
      </w:r>
    </w:p>
    <w:p>
      <w:pPr>
        <w:pStyle w:val="ListNumber"/>
      </w:pPr>
      <w:r>
        <w:t>Choose and provision the always-on host.</w:t>
      </w:r>
    </w:p>
    <w:p>
      <w:pPr>
        <w:pStyle w:val="ListNumber"/>
      </w:pPr>
      <w:r>
        <w:t>Deploy the existing Docker worker and dashboard privately.</w:t>
      </w:r>
    </w:p>
    <w:p>
      <w:pPr>
        <w:pStyle w:val="ListNumber"/>
      </w:pPr>
      <w:r>
        <w:t>Prove uptime and single-writer ledger safety.</w:t>
      </w:r>
    </w:p>
    <w:p>
      <w:pPr>
        <w:pStyle w:val="ListNumber"/>
      </w:pPr>
      <w:r>
        <w:t>Select and integrate the streaming equity provider.</w:t>
      </w:r>
    </w:p>
    <w:p>
      <w:pPr>
        <w:pStyle w:val="ListNumber"/>
      </w:pPr>
      <w:r>
        <w:t>Build normalized market-event storage and freshness gates.</w:t>
      </w:r>
    </w:p>
    <w:p>
      <w:pPr>
        <w:pStyle w:val="ListNumber"/>
      </w:pPr>
      <w:r>
        <w:t>Implement the event-driven paper-execution engine.</w:t>
      </w:r>
    </w:p>
    <w:p>
      <w:pPr>
        <w:pStyle w:val="ListNumber"/>
      </w:pPr>
      <w:r>
        <w:t>Add short-selling data, followed by options data and lifecycle handling.</w:t>
      </w:r>
    </w:p>
    <w:p>
      <w:pPr>
        <w:pStyle w:val="Heading1"/>
      </w:pPr>
      <w:r>
        <w:t>Immediate Next Decision</w:t>
      </w:r>
    </w:p>
    <w:p>
      <w:r>
        <w:t>Choose the always-on host. A wired mini PC or Mac mini at home is the most direct path if the goal is private local control. A private cloud host is easier to keep online but requires ongoing hosting cost and careful security. Once the host is chosen, deploy the existing Docker package and begin the 20-session reliability test before adding faster strategies.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95959"/>
        <w:sz w:val="16"/>
      </w:rPr>
      <w:t xml:space="preserve">AIFundOS Roadmap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95959"/>
        <w:sz w:val="16"/>
      </w:rPr>
      <w:t>AIFundOS Infrastructure and Strategy Roadmap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1F1F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374" w:hanging="230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374" w:hanging="230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ecklist">
    <w:name w:val="Checklist"/>
    <w:basedOn w:val="Normal"/>
    <w:pPr>
      <w:spacing w:after="80"/>
      <w:ind w:left="346" w:hanging="346"/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