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9ff7e3c92fb09ced03c10451eeb820bbf8a240"/>
    <w:p>
      <w:pPr>
        <w:pStyle w:val="Heading1"/>
      </w:pPr>
      <w:r>
        <w:t xml:space="preserve">Salesforce OSCAL Example Output for Business Review</w:t>
      </w:r>
    </w:p>
    <w:p>
      <w:pPr>
        <w:pStyle w:val="FirstParagraph"/>
      </w:pPr>
      <w:r>
        <w:t xml:space="preserve">Date: 2026-02-25</w:t>
      </w:r>
      <w:r>
        <w:br/>
      </w:r>
      <w:r>
        <w:t xml:space="preserve">Program: SaaS Risk Program - Salesforce OSCAL POC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shows the type of governance output that can be produced from a legitimate Salesforce gap-analysis file mapped through the OSCAL pipeline.</w:t>
      </w:r>
    </w:p>
    <w:bookmarkEnd w:id="9"/>
    <w:bookmarkStart w:id="10" w:name="input-and-processing-scope"/>
    <w:p>
      <w:pPr>
        <w:pStyle w:val="Heading2"/>
      </w:pPr>
      <w:r>
        <w:t xml:space="preserve">Input and Processing Scope</w:t>
      </w:r>
    </w:p>
    <w:p>
      <w:pPr>
        <w:pStyle w:val="Compact"/>
        <w:numPr>
          <w:ilvl w:val="0"/>
          <w:numId w:val="1001"/>
        </w:numPr>
      </w:pPr>
      <w:r>
        <w:t xml:space="preserve">Input gap file:</w:t>
      </w:r>
      <w:r>
        <w:t xml:space="preserve"> </w:t>
      </w:r>
      <w:r>
        <w:rPr>
          <w:rStyle w:val="VerbatimChar"/>
        </w:rPr>
        <w:t xml:space="preserve">docs/oscal-salesforce-poc/examples/gap-analysis-salesforce-collector-mock.json</w:t>
      </w:r>
    </w:p>
    <w:p>
      <w:pPr>
        <w:pStyle w:val="Compact"/>
        <w:numPr>
          <w:ilvl w:val="0"/>
          <w:numId w:val="1001"/>
        </w:numPr>
      </w:pPr>
      <w:r>
        <w:t xml:space="preserve">Control catalog:</w:t>
      </w:r>
      <w:r>
        <w:t xml:space="preserve"> </w:t>
      </w:r>
      <w:r>
        <w:rPr>
          <w:rStyle w:val="VerbatimChar"/>
        </w:rPr>
        <w:t xml:space="preserve">docs/oscal-salesforce-poc/generated/sbs_controls.json</w:t>
      </w:r>
      <w:r>
        <w:t xml:space="preserve"> </w:t>
      </w:r>
      <w:r>
        <w:t xml:space="preserve">(45 SBS controls)</w:t>
      </w:r>
    </w:p>
    <w:p>
      <w:pPr>
        <w:pStyle w:val="Compact"/>
        <w:numPr>
          <w:ilvl w:val="0"/>
          <w:numId w:val="1001"/>
        </w:numPr>
      </w:pPr>
      <w:r>
        <w:t xml:space="preserve">Mappings applied: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config/oscal-salesforce/control_mapping.yaml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config/oscal-salesforce/sbs_to_sscf_mapping.yaml</w:t>
      </w:r>
    </w:p>
    <w:p>
      <w:pPr>
        <w:pStyle w:val="Compact"/>
        <w:numPr>
          <w:ilvl w:val="0"/>
          <w:numId w:val="1001"/>
        </w:numPr>
      </w:pPr>
      <w:r>
        <w:t xml:space="preserve">Pipeline script:</w:t>
      </w:r>
      <w:r>
        <w:t xml:space="preserve"> </w:t>
      </w:r>
      <w:r>
        <w:rPr>
          <w:rStyle w:val="VerbatimChar"/>
        </w:rPr>
        <w:t xml:space="preserve">scripts/oscal_gap_map.py</w:t>
      </w:r>
    </w:p>
    <w:bookmarkEnd w:id="10"/>
    <w:bookmarkStart w:id="14" w:name="end-to-end-outcome-summary"/>
    <w:p>
      <w:pPr>
        <w:pStyle w:val="Heading2"/>
      </w:pPr>
      <w:r>
        <w:t xml:space="preserve">End-to-End Outcome Summary</w:t>
      </w:r>
    </w:p>
    <w:p>
      <w:pPr>
        <w:pStyle w:val="Compact"/>
        <w:numPr>
          <w:ilvl w:val="0"/>
          <w:numId w:val="1003"/>
        </w:numPr>
      </w:pPr>
      <w:r>
        <w:t xml:space="preserve">Total controls in scope: 45</w:t>
      </w:r>
    </w:p>
    <w:p>
      <w:pPr>
        <w:pStyle w:val="Compact"/>
        <w:numPr>
          <w:ilvl w:val="0"/>
          <w:numId w:val="1003"/>
        </w:numPr>
      </w:pPr>
      <w:r>
        <w:t xml:space="preserve">Findings evaluated: 45</w:t>
      </w:r>
    </w:p>
    <w:p>
      <w:pPr>
        <w:pStyle w:val="Compact"/>
        <w:numPr>
          <w:ilvl w:val="0"/>
          <w:numId w:val="1003"/>
        </w:numPr>
      </w:pPr>
      <w:r>
        <w:t xml:space="preserve">Mapped findings: 45</w:t>
      </w:r>
    </w:p>
    <w:p>
      <w:pPr>
        <w:pStyle w:val="Compact"/>
        <w:numPr>
          <w:ilvl w:val="0"/>
          <w:numId w:val="1003"/>
        </w:numPr>
      </w:pPr>
      <w:r>
        <w:t xml:space="preserve">Unmapped findings: 0</w:t>
      </w:r>
    </w:p>
    <w:p>
      <w:pPr>
        <w:pStyle w:val="Compact"/>
        <w:numPr>
          <w:ilvl w:val="0"/>
          <w:numId w:val="1003"/>
        </w:numPr>
      </w:pPr>
      <w:r>
        <w:t xml:space="preserve">Invalid mapping entries: 0</w:t>
      </w:r>
    </w:p>
    <w:bookmarkStart w:id="11" w:name="status-breakdown"/>
    <w:p>
      <w:pPr>
        <w:pStyle w:val="Heading3"/>
      </w:pPr>
      <w:r>
        <w:t xml:space="preserve">Status Breakdown</w:t>
      </w:r>
    </w:p>
    <w:p>
      <w:pPr>
        <w:pStyle w:val="Compact"/>
        <w:numPr>
          <w:ilvl w:val="0"/>
          <w:numId w:val="1004"/>
        </w:numPr>
      </w:pPr>
      <w:r>
        <w:t xml:space="preserve">Pass: 24</w:t>
      </w:r>
    </w:p>
    <w:p>
      <w:pPr>
        <w:pStyle w:val="Compact"/>
        <w:numPr>
          <w:ilvl w:val="0"/>
          <w:numId w:val="1004"/>
        </w:numPr>
      </w:pPr>
      <w:r>
        <w:t xml:space="preserve">Partial: 12</w:t>
      </w:r>
    </w:p>
    <w:p>
      <w:pPr>
        <w:pStyle w:val="Compact"/>
        <w:numPr>
          <w:ilvl w:val="0"/>
          <w:numId w:val="1004"/>
        </w:numPr>
      </w:pPr>
      <w:r>
        <w:t xml:space="preserve">Fail: 9</w:t>
      </w:r>
    </w:p>
    <w:p>
      <w:pPr>
        <w:pStyle w:val="Compact"/>
        <w:numPr>
          <w:ilvl w:val="0"/>
          <w:numId w:val="1004"/>
        </w:numPr>
      </w:pPr>
      <w:r>
        <w:t xml:space="preserve">Not applicable: 0</w:t>
      </w:r>
    </w:p>
    <w:bookmarkEnd w:id="11"/>
    <w:bookmarkStart w:id="12" w:name="severity-distribution"/>
    <w:p>
      <w:pPr>
        <w:pStyle w:val="Heading3"/>
      </w:pPr>
      <w:r>
        <w:t xml:space="preserve">Severity Distribution</w:t>
      </w:r>
    </w:p>
    <w:p>
      <w:pPr>
        <w:pStyle w:val="Compact"/>
        <w:numPr>
          <w:ilvl w:val="0"/>
          <w:numId w:val="1005"/>
        </w:numPr>
      </w:pPr>
      <w:r>
        <w:t xml:space="preserve">Critical: 9</w:t>
      </w:r>
    </w:p>
    <w:p>
      <w:pPr>
        <w:pStyle w:val="Compact"/>
        <w:numPr>
          <w:ilvl w:val="0"/>
          <w:numId w:val="1005"/>
        </w:numPr>
      </w:pPr>
      <w:r>
        <w:t xml:space="preserve">High: 19</w:t>
      </w:r>
    </w:p>
    <w:p>
      <w:pPr>
        <w:pStyle w:val="Compact"/>
        <w:numPr>
          <w:ilvl w:val="0"/>
          <w:numId w:val="1005"/>
        </w:numPr>
      </w:pPr>
      <w:r>
        <w:t xml:space="preserve">Medium: 14</w:t>
      </w:r>
    </w:p>
    <w:p>
      <w:pPr>
        <w:pStyle w:val="Compact"/>
        <w:numPr>
          <w:ilvl w:val="0"/>
          <w:numId w:val="1005"/>
        </w:numPr>
      </w:pPr>
      <w:r>
        <w:t xml:space="preserve">Low: 3</w:t>
      </w:r>
    </w:p>
    <w:bookmarkEnd w:id="12"/>
    <w:bookmarkStart w:id="13" w:name="mapping-quality"/>
    <w:p>
      <w:pPr>
        <w:pStyle w:val="Heading3"/>
      </w:pPr>
      <w:r>
        <w:t xml:space="preserve">Mapping Quality</w:t>
      </w:r>
    </w:p>
    <w:p>
      <w:pPr>
        <w:pStyle w:val="Compact"/>
        <w:numPr>
          <w:ilvl w:val="0"/>
          <w:numId w:val="1006"/>
        </w:numPr>
      </w:pPr>
      <w:r>
        <w:t xml:space="preserve">Mapping confidence: 100% high confidence (45/45)</w:t>
      </w:r>
    </w:p>
    <w:p>
      <w:pPr>
        <w:pStyle w:val="Compact"/>
        <w:numPr>
          <w:ilvl w:val="0"/>
          <w:numId w:val="1006"/>
        </w:numPr>
      </w:pPr>
      <w:r>
        <w:t xml:space="preserve">SSCF traceability: included per finding in</w:t>
      </w:r>
      <w:r>
        <w:t xml:space="preserve"> </w:t>
      </w:r>
      <w:r>
        <w:rPr>
          <w:rStyle w:val="VerbatimChar"/>
        </w:rPr>
        <w:t xml:space="preserve">sscf_control_ids</w:t>
      </w:r>
    </w:p>
    <w:bookmarkEnd w:id="13"/>
    <w:bookmarkEnd w:id="14"/>
    <w:bookmarkStart w:id="17" w:name="X83863da4508b077eea8bfc1a81711a4e7898dd2"/>
    <w:p>
      <w:pPr>
        <w:pStyle w:val="Heading2"/>
      </w:pPr>
      <w:r>
        <w:t xml:space="preserve">Example Priority Gaps (from generated output)</w:t>
      </w:r>
    </w:p>
    <w:bookmarkStart w:id="15" w:name="failed-controls"/>
    <w:p>
      <w:pPr>
        <w:pStyle w:val="Heading3"/>
      </w:pPr>
      <w:r>
        <w:t xml:space="preserve">Failed controls</w:t>
      </w:r>
    </w:p>
    <w:p>
      <w:pPr>
        <w:pStyle w:val="Compact"/>
        <w:numPr>
          <w:ilvl w:val="0"/>
          <w:numId w:val="1007"/>
        </w:numPr>
      </w:pPr>
      <w:r>
        <w:t xml:space="preserve">SBS-ACS-001 - Enforce a Documented Permission Set Model (high)</w:t>
      </w:r>
    </w:p>
    <w:p>
      <w:pPr>
        <w:pStyle w:val="Compact"/>
        <w:numPr>
          <w:ilvl w:val="0"/>
          <w:numId w:val="1007"/>
        </w:numPr>
      </w:pPr>
      <w:r>
        <w:t xml:space="preserve">SBS-ACS-008 - Restrict Broad Privileges for Non-Human Identities (high)</w:t>
      </w:r>
    </w:p>
    <w:p>
      <w:pPr>
        <w:pStyle w:val="Compact"/>
        <w:numPr>
          <w:ilvl w:val="0"/>
          <w:numId w:val="1007"/>
        </w:numPr>
      </w:pPr>
      <w:r>
        <w:t xml:space="preserve">SBS-DATA-001 - Detect regulated data in long text fields (high)</w:t>
      </w:r>
    </w:p>
    <w:p>
      <w:pPr>
        <w:pStyle w:val="Compact"/>
        <w:numPr>
          <w:ilvl w:val="0"/>
          <w:numId w:val="1007"/>
        </w:numPr>
      </w:pPr>
      <w:r>
        <w:t xml:space="preserve">SBS-DEP-006 - Configure Salesforce CLI token expiration policies (high)</w:t>
      </w:r>
    </w:p>
    <w:p>
      <w:pPr>
        <w:pStyle w:val="Compact"/>
        <w:numPr>
          <w:ilvl w:val="0"/>
          <w:numId w:val="1007"/>
        </w:numPr>
      </w:pPr>
      <w:r>
        <w:t xml:space="preserve">SBS-SECCONF-001 - Establish a Salesforce Health Check baseline (high)</w:t>
      </w:r>
    </w:p>
    <w:bookmarkEnd w:id="15"/>
    <w:bookmarkStart w:id="16" w:name="partial-controls-critical-examples"/>
    <w:p>
      <w:pPr>
        <w:pStyle w:val="Heading3"/>
      </w:pPr>
      <w:r>
        <w:t xml:space="preserve">Partial controls (critical examples)</w:t>
      </w:r>
    </w:p>
    <w:p>
      <w:pPr>
        <w:pStyle w:val="Compact"/>
        <w:numPr>
          <w:ilvl w:val="0"/>
          <w:numId w:val="1008"/>
        </w:numPr>
      </w:pPr>
      <w:r>
        <w:t xml:space="preserve">SBS-ACS-003 - Documented justification for Approve Uninstalled Connected Apps permission</w:t>
      </w:r>
    </w:p>
    <w:p>
      <w:pPr>
        <w:pStyle w:val="Compact"/>
        <w:numPr>
          <w:ilvl w:val="0"/>
          <w:numId w:val="1008"/>
        </w:numPr>
      </w:pPr>
      <w:r>
        <w:t xml:space="preserve">SBS-ACS-006 - Documented justification for Use Any API Client permission</w:t>
      </w:r>
    </w:p>
    <w:p>
      <w:pPr>
        <w:pStyle w:val="Compact"/>
        <w:numPr>
          <w:ilvl w:val="0"/>
          <w:numId w:val="1008"/>
        </w:numPr>
      </w:pPr>
      <w:r>
        <w:t xml:space="preserve">SBS-DEP-005 - Secret scanning for Salesforce repositories</w:t>
      </w:r>
    </w:p>
    <w:p>
      <w:pPr>
        <w:pStyle w:val="Compact"/>
        <w:numPr>
          <w:ilvl w:val="0"/>
          <w:numId w:val="1008"/>
        </w:numPr>
      </w:pPr>
      <w:r>
        <w:t xml:space="preserve">SBS-OAUTH-002 - Connected App access control via profile/permission set</w:t>
      </w:r>
    </w:p>
    <w:p>
      <w:pPr>
        <w:pStyle w:val="Compact"/>
        <w:numPr>
          <w:ilvl w:val="0"/>
          <w:numId w:val="1008"/>
        </w:numPr>
      </w:pPr>
      <w:r>
        <w:t xml:space="preserve">SBS-CPORTAL-001 - Prevent parameter-based record access in portal Apex</w:t>
      </w:r>
    </w:p>
    <w:bookmarkEnd w:id="16"/>
    <w:bookmarkEnd w:id="17"/>
    <w:bookmarkStart w:id="18" w:name="deliverables-produced-by-this-run"/>
    <w:p>
      <w:pPr>
        <w:pStyle w:val="Heading2"/>
      </w:pPr>
      <w:r>
        <w:t xml:space="preserve">Deliverables Produced by This Run</w:t>
      </w:r>
    </w:p>
    <w:p>
      <w:pPr>
        <w:pStyle w:val="Compact"/>
        <w:numPr>
          <w:ilvl w:val="0"/>
          <w:numId w:val="1009"/>
        </w:numPr>
      </w:pPr>
      <w:r>
        <w:t xml:space="preserve">Gap matrix (human-readable):</w:t>
      </w:r>
      <w:r>
        <w:t xml:space="preserve"> </w:t>
      </w:r>
      <w:r>
        <w:rPr>
          <w:rStyle w:val="VerbatimChar"/>
        </w:rPr>
        <w:t xml:space="preserve">docs/oscal-salesforce-poc/generated/salesforce_oscal_gap_matrix_latest.md</w:t>
      </w:r>
    </w:p>
    <w:p>
      <w:pPr>
        <w:pStyle w:val="Compact"/>
        <w:numPr>
          <w:ilvl w:val="0"/>
          <w:numId w:val="1009"/>
        </w:numPr>
      </w:pPr>
      <w:r>
        <w:t xml:space="preserve">Backlog (machine-readable):</w:t>
      </w:r>
      <w:r>
        <w:t xml:space="preserve"> </w:t>
      </w:r>
      <w:r>
        <w:rPr>
          <w:rStyle w:val="VerbatimChar"/>
        </w:rPr>
        <w:t xml:space="preserve">docs/oscal-salesforce-poc/generated/salesforce_oscal_backlog_latest.json</w:t>
      </w:r>
    </w:p>
    <w:bookmarkEnd w:id="18"/>
    <w:bookmarkStart w:id="19" w:name="what-this-enables-for-the-business-unit"/>
    <w:p>
      <w:pPr>
        <w:pStyle w:val="Heading2"/>
      </w:pPr>
      <w:r>
        <w:t xml:space="preserve">What This Enables for the Business Unit</w:t>
      </w:r>
    </w:p>
    <w:p>
      <w:pPr>
        <w:pStyle w:val="Compact"/>
        <w:numPr>
          <w:ilvl w:val="0"/>
          <w:numId w:val="1010"/>
        </w:numPr>
      </w:pPr>
      <w:r>
        <w:t xml:space="preserve">A control-level compliance heatmap (pass/partial/fail) from one ingest.</w:t>
      </w:r>
    </w:p>
    <w:p>
      <w:pPr>
        <w:pStyle w:val="Compact"/>
        <w:numPr>
          <w:ilvl w:val="0"/>
          <w:numId w:val="1010"/>
        </w:numPr>
      </w:pPr>
      <w:r>
        <w:t xml:space="preserve">Prioritized remediation backlog with ownership and target dates.</w:t>
      </w:r>
    </w:p>
    <w:p>
      <w:pPr>
        <w:pStyle w:val="Compact"/>
        <w:numPr>
          <w:ilvl w:val="0"/>
          <w:numId w:val="1010"/>
        </w:numPr>
      </w:pPr>
      <w:r>
        <w:t xml:space="preserve">Direct mapping from Salesforce controls to CSA SSCF controls for governance reporting.</w:t>
      </w:r>
    </w:p>
    <w:p>
      <w:pPr>
        <w:pStyle w:val="Compact"/>
        <w:numPr>
          <w:ilvl w:val="0"/>
          <w:numId w:val="1010"/>
        </w:numPr>
      </w:pPr>
      <w:r>
        <w:t xml:space="preserve">Repeatable evidence package generation for recurring review cycles.</w:t>
      </w:r>
    </w:p>
    <w:bookmarkEnd w:id="19"/>
    <w:bookmarkStart w:id="20" w:name="X9a7b60bf06a2996009028dfc256b148618471cf"/>
    <w:p>
      <w:pPr>
        <w:pStyle w:val="Heading2"/>
      </w:pPr>
      <w:r>
        <w:t xml:space="preserve">Recommended Next Step for Production-Grade Reporting</w:t>
      </w:r>
    </w:p>
    <w:p>
      <w:pPr>
        <w:pStyle w:val="FirstParagraph"/>
      </w:pPr>
      <w:r>
        <w:t xml:space="preserve">Run this exact pipeline with the business unit’s real Salesforce gap file and publish the generated matrix/backlog as the monthly governance pack baseline.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2026-02-25T15:19:48Z</dcterms:created>
  <dcterms:modified xsi:type="dcterms:W3CDTF">2026-02-25T15:19:48Z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