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Security Configuration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Salesforce Event Monitoring and Transaction Security Policies (TSP)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**Organization:** CDW (US, Canada, UK)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**Effective Date:** February 24,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**Owner:** Business Security Services (Global Information Security - Corporate Business)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**Classification:** Internal Use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 and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baseline defines minimum required security configuration for Salesforce Event Monitoring and Transaction Security Policies (TSP) across CDW US, CDW Canada, and CDW UK production environments. Common operating theme: baseline settings are continuously monitored through data pipelines, drift from baseline is detected, and control status is reported through a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a technical and operational baseline aligned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CDW Global Information Security policies and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CSA SSCF (Cloud Security Alliance SaaS Security Controls Framework)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NIST SP 800-53 Rev.5 (AU, AC, IR, IA families)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CIS Controls v8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ISO/IEC 27001:2022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Governance and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Platform Owner: approves platform configuration changes and operational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Administrator Team: implements and maintains Event Monitoring and TSP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Security Services: defines baseline requirements, exceptions, and risk acceptance criteria.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Operations Monitoring Team: receives alerts, triages incidents, and coordinates escalation.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Engineering: owns ingestion pipeline reliability and dashboard data quality for control monitoring.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GRC and Audit: validates control evidence and policy conformance.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Event Monitoring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Platform Enablement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Control / Setting | Required Value | Risk if Not Met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Salesforce Shield / Event Monitoring license | Enabled in all production orgs | Critical | License + Setup screenshot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 Log retention | Minimum 30 days; target 365 days in SIEM/data lake | High | Retention config + storage policy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Event Monitoring | Enabled | High | RTEM policy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SIEM/data forwarding | Enabled to central monitoring platform and control-monitoring data pipeline | Critical | Pipeline health check + dashboard status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 Monitoring Analytics App | Enabled for admin review workflows | Medium | App deployment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Required Event Types and Detection Thresholds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 Type | Security Use Case | Priority | Baseline Threshold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LoginEvent | Brute force, credential abuse, impossible travel | Critical | 5 failed logins / 10 min /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LoginAsEvent | Unauthorized impersonation | Critical | Any occurrence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ReportEvent | Mass data access | High | &gt;5,000 rows per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ReportExportEvent | Data exfiltration via exports | Critical | Any export by non-approved role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ApiEvent | API abuse and scripted extraction | High | &gt;10,000 records per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PermissionSetEvent | Privilege escalation | Critical | Any privileged assignment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SetupAuditTrailEvent | High-risk config changes | High | Any change outside change window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BulkApiResultEvent | Bulk extraction/upsert anomalies | High | &gt;50,000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ContentDocumentLinkEvent | Sensitive file mass sharing/download | Medium | &gt;50 files/hour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SearchEvent | PII or sensitive record harvesting | Medium | &gt;200 searches/hour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Session and Login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Control | Required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Session timeout | 2 hours standard users; 30 minutes privileged users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High assurance | Required for sensitive admin/report actions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Trusted IP ranges | Enforced for admin and privileged profiles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After-hours admin login monitoring | Alert outside approved operating window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Impossible travel monitoring | Enabled and alerted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Transaction Security Policy (TSP)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Required TSP Policies (Enabled in Production)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Policy Name | Event Type | Action | Priority | Baseline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Block Mass Report Export | ReportEvent | Block + Notify | Critical | rows_downloaded &gt; 5000 and role not allowlisted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Block API Bulk Extract | ApiEvent | Block + Notify | Critical | queryRows &gt; 10000 per session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Notify Privilege Escalation | PermissionSetEvent | Notify + Case | Critical | Any privileged set assignment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Block Untrusted Country Login | LoginEvent | Block + Notify | High | source country not in approved geo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Alert After-Hours Admin Change | SetupAuditTrailEvent | Notify + Case | High | admin change outside change window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Block Unauthorized LoginAs | LoginAsEvent | Block + Notify | Critical | actor not in approved impersonator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Alert High Anomaly Score | LoginAnomalyEvent | Notify | High | score &gt;= 75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Alert Large File Download | ContentDocumentLinkEvent | Notify | Medium | &gt;50 file downloads in 1 hour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Block Non-Integration Bulk Upsert | BulkApiResultEvent | Block + Notify | High | recordsProcessed &gt; 50000 and user type !=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TSP Configuration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Control | Required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TSP state | Enabled in production; no disabled policy without approved exception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Critical policy action | Block, not notify-only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Alert destination | Security monitoring channel + incident queue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Deployment process | Sandbox test, peer review, production approval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 retention | TSP execution/audit logs retained minimum 1 year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Exception window | Maximum 90 days with documented compensating controls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Regional Baseline Profile (US, CAN, UK)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Common Global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controls in Sections 3 and 4 are mandatory globally.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Regional Parameterization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Parameter | US | Canada | UK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Approved login geographies | US (+ approved support locations) | Canada (+ approved support locations) | UK (+ approved support locations)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Regulatory considerations | State privacy obligations | PIPEDA and provincial privacy requirements | UK GDPR and Data Protection 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Alert routing | CDW US monitoring path | CDW Canada monitoring path | CDW UK monitoring path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Escalation contacts | US regional security contacts | Canada regional security contacts | UK regional security contacts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Continuous Monitoring and Drift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 settings are continuously monitored using enterprise data pipelines.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 from required baseline values is detected and logged as control findings.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 health and remediation status are reported through a dashboard for operations and governance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CSA SSCF Mapping (Foundational Control Alignment)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Baseline Area | Control Intent | CSA SSCF Domain Mapping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 capture and logging | Security-relevant SaaS actions are logged and retained | Logging and Monitoring; Auditability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Real-time policy enforcement | High-risk actions are blocked or challenged at runtime | Threat Detection and Response; Access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Privilege change monitoring | Privileged access changes are detected and investigated | IAM and Privileged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Configuration change monitoring | Sensitive platform config changes are monitored | Change and Configuration Management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export protection | Large or suspicious data movement is prevented or alerted | Data Security and DLP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Exception handling | Deviations are time-bound, approved, and tracked | Governance, Risk, and Compliance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Operational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Frequency | Activity |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| Verify ingestion freshness, drift detections, and alerting health | Security Operations Monitoring Team + Data Engineering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Weekly | Review dashboard control metrics, TSP triggers, and tune thresholds | Business Security Services + Platform Admin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| Validate baseline conformance and Health Check posture | Salesforce Admin 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Quarterly | Formal baseline review and control updates | Business Security Services + GRC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Post-incident | Gap analysis and control hardening updates | Incident response stakeholders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Exceptions and Risk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 control deviation requires: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documented business justification,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defined compensating controls,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by designated security authority,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remediation date (max 90 days),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tracking in risk register until 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Minimum Evidence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Monitoring enablement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TSP enabled policy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run history and freshness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SIEM/monitoring forwarding health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Monthly/quarterly review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Exception approvals and closure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Security Implementation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Event Monitoring and Real-Time Event Monitoring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Salesforce Transaction Security Policy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CDW Global Information Security policies, standards, and baseline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CSA SSCF (Cloud Security Alliance SaaS Security Controls Framework)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NIST SP 800-53 Rev.5 (AU, AC, IR, IA control families)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CIS Controls v8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ISO/IEC 27001:2022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Change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Change Summary | Author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2026-02-24 | Initial CDW baseline for Salesforce Event Monitoring and TSP (US/CAN/UK), including continuous monitoring, drift detection, and dashboard reporting theme | Codex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