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a="http://schemas.openxmlformats.org/drawingml/2006/main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0" w:space="1" w:color="000000"/>
          <w:bottom w:val="single" w:sz="10" w:space="1" w:color="000000"/>
        </w:pBdr>
        <w:spacing w:before="80" w:after="120" w:line="360" w:lineRule="auto"/>
      </w:pPr>
      <w:r>
        <w:rPr>
          <w:rFonts w:ascii="Times New Roman" w:hAnsi="Times New Roman" w:eastAsia="SimSun"/>
          <w:b/>
          <w:bCs/>
          <w:sz w:val="30"/>
          <w:szCs w:val="30"/>
        </w:rPr>
        <w:t xml:space="preserve">算法 4.2 DDPG+APF整体运行流程</w:t>
      </w:r>
    </w:p>
    <w:p>
      <w:pPr>
        <w:spacing w:before="0" w:after="80" w:line="360" w:lineRule="auto"/>
      </w:pPr>
      <w:r>
        <w:rPr>
          <w:rFonts w:ascii="Times New Roman" w:hAnsi="Times New Roman" w:eastAsia="SimSun"/>
          <w:b/>
          <w:bCs/>
          <w:sz w:val="24"/>
          <w:szCs w:val="24"/>
        </w:rPr>
        <w:t xml:space="preserve">已知：</w:t>
      </w:r>
      <w:r>
        <w:rPr>
          <w:rFonts w:ascii="Times New Roman" w:hAnsi="Times New Roman" w:eastAsia="SimSun"/>
          <w:sz w:val="24"/>
          <w:szCs w:val="24"/>
        </w:rPr>
        <w:t xml:space="preserve">系统配置文件：C_sys，训练配置文件：C_train，奖励配置文件：C_reward，训练轮数：E，单轮最大步数：T，批大小：N，折扣因子：γ，软更新系数：τ，评测轮数：E_eval，评测步数：T_eval。</w:t>
      </w:r>
    </w:p>
    <w:p>
      <w:pPr>
        <w:spacing w:before="0" w:after="80" w:line="360" w:lineRule="auto"/>
      </w:pPr>
      <w:r>
        <w:rPr>
          <w:rFonts w:ascii="Times New Roman" w:hAnsi="Times New Roman" w:eastAsia="SimSun"/>
          <w:b/>
          <w:bCs/>
          <w:sz w:val="24"/>
          <w:szCs w:val="24"/>
        </w:rPr>
        <w:t xml:space="preserve">求：</w:t>
      </w:r>
      <w:r>
        <w:rPr>
          <w:rFonts w:ascii="Times New Roman" w:hAnsi="Times New Roman" w:eastAsia="SimSun"/>
          <w:sz w:val="24"/>
          <w:szCs w:val="24"/>
        </w:rPr>
        <w:t xml:space="preserve">最优策略 μ*，最优APF参数集合 W*，评测结果集 P。</w:t>
      </w:r>
    </w:p>
    <w:tbl>
      <w:tblPr>
        <w:tblW w:w="105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9800"/>
      </w:tblGrid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初始化演员网络参数 θ_μ 和评论家网络参数 θ_Q，初始化目标网络 θ_μ' ← θ_μ，θ_Q' ← θ_Q。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初始化经验重放缓冲区 D ← ∅，初始化探索噪声过程 ψ。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3: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初始化多无人机算法服务器 Server 和训练环境 Env。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4: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for episode = 1 to E do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5: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重置环境，获取初始状态 s_t，并重置电量、碰撞计数和扫描状态。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6: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for t = 1 to T do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7: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将状态 s_t 输入演员网络，得到连续动作 a_t ← μ(s_t|θ_μ)。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8: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给动作加入探索噪声，得到执行动作 ã_t ← a_t + ψ_t。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9: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对 ã_t 进行裁剪、平滑和安全约束，并映射为 APF 参数 W_t ← {w_r, w_e, w_d, w_l, w_h, d_o, c_o}。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10: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计算 F_repulsion、F_entropy 和 F_distance。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11: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计算 F_leader、F_history 和 F_obs。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12: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融合得到最终飞行方向 F_t ← w_r F_repulsion + w_e F_entropy + w_d F_distance + w_l F_leader + w_h F_history + F_obs。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13: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执行动作 ã_t，获取奖励 r_t、下一时刻状态 s_{t+1} 和终止标志 done。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14: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将经验 (s_t, ã_t, r_t, s_{t+1}, done) 存入经验池 D，并随机采样 N 条经验。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15: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计算目标值 y_i ← r_i + γQ'(s_{i+1}, μ'(s_{i+1}|θ_μ')|θ_Q')。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16: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最小化损失函数 L ← (1 / N) Σ_i [y_i - Q(s_i, a_i|θ_Q)]^2，以更新评论家网络。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17: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根据策略梯度 ∇_{θ_μ}J 更新演员网络，并软更新目标网络 θ_μ'、θ_Q'。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18: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if done = True then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19:</w:t>
            </w:r>
          </w:p>
        </w:tc>
        <w:tc>
          <w:tcPr>
            <w:tcW w:w="9800" w:type="dxa"/>
            <w:vAlign w:val="top"/>
          </w:tcPr>
          <w:p>
            <w:pPr>
              <w:ind w:left="156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break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20: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end if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21: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令 s_t ← s_{t+1}。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22: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end for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23: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end for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24: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保存最优演员网络参数 θ_μ* 和最优APF参数集合 W*。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25: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初始化评测结果集 P ← ∅。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26: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for episode = 1 to E_eval do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27: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重置评测环境，获取初始状态 s_t。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28: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for t = 1 to T_eval do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29: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将状态 s_t 输入最优演员网络，得到动作 a_t ← μ(s_t|θ_μ*)。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30: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将 a_t 转换为 APF 权重并生成最终飞行方向 F_t，控制无人机执行扫描任务。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31: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获取下一时刻状态 s_{t+1}，记录扫描率、平均熵、碰撞次数和电量信息。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32: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if 达到目标扫描率或触发终止条件 then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33:</w:t>
            </w:r>
          </w:p>
        </w:tc>
        <w:tc>
          <w:tcPr>
            <w:tcW w:w="9800" w:type="dxa"/>
            <w:vAlign w:val="top"/>
          </w:tcPr>
          <w:p>
            <w:pPr>
              <w:ind w:left="156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break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34: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end if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35: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令 s_t ← s_{t+1}。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36: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end for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37: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将当前回合评测结果加入结果集 P。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38: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end for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39: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输出训练日志、扫描统计结果和性能对比图表。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40: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return μ*，W*，P</w:t>
            </w:r>
          </w:p>
        </w:tc>
      </w:tr>
    </w:tbl>
    <w:p>
      <w:pPr>
        <w:pBdr>
          <w:bottom w:val="single" w:sz="10" w:space="1" w:color="000000"/>
        </w:pBdr>
        <w:spacing w:before="60" w:after="60" w:line="200" w:lineRule="auto"/>
      </w:pPr>
    </w:p>
    <w:p>
      <w:r>
        <w:br w:type="page"/>
      </w:r>
    </w:p>
    <w:p>
      <w:pPr>
        <w:spacing w:before="160" w:after="120" w:line="360" w:lineRule="auto"/>
      </w:pPr>
      <w:r>
        <w:rPr>
          <w:rFonts w:ascii="Times New Roman" w:hAnsi="Times New Roman" w:eastAsia="SimSun"/>
          <w:b/>
          <w:bCs/>
          <w:sz w:val="28"/>
          <w:szCs w:val="28"/>
        </w:rPr>
        <w:t xml:space="preserve">DDPG+APF逻辑流程图</w:t>
      </w:r>
    </w:p>
    <w:p>
      <w:pPr>
        <w:jc w:val="center"/>
        <w:spacing w:before="40" w:after="80" w:line="240" w:lineRule="auto"/>
      </w:pPr>
      <w:r>
        <w:drawing>
          <wp:inline distT="0" distB="0" distL="0" distR="0">
            <wp:extent cx="5029200" cy="7229475"/>
            <wp:effectExtent l="0" t="0" r="0" b="0"/>
            <wp:docPr id="1" name="DDPG_APF_Logic_Flowchar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PG_APF_Logic_Flowchart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 w:line="360" w:lineRule="auto"/>
      </w:pPr>
      <w:r>
        <w:rPr>
          <w:rFonts w:ascii="Times New Roman" w:hAnsi="Times New Roman" w:eastAsia="SimSun"/>
          <w:sz w:val="22"/>
          <w:szCs w:val="22"/>
        </w:rPr>
        <w:t xml:space="preserve">图 1  DDPG+APF 训练—评测—输出整体逻辑流程图。</w:t>
      </w:r>
    </w:p>
    <w:p>
      <w:pPr>
        <w:pBdr>
          <w:bottom w:val="single" w:sz="10" w:space="1" w:color="000000"/>
        </w:pBdr>
        <w:spacing w:before="60" w:after="60" w:line="200" w:lineRule="auto"/>
      </w:pPr>
    </w:p>
    <w:sectPr>
      <w:pgSz w:w="11906" w:h="16838"/>
      <w:pgMar w:top="1200" w:right="1000" w:bottom="1200" w:left="100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image" Target="media/DDPG_APF_Logic_Flowchart.png"/>
</Relationships>

</file>