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Кинсиклунон</w:t>
      </w:r>
      <w:r>
        <w:t xml:space="preserve"> </w:t>
      </w:r>
      <w:r>
        <w:t xml:space="preserve">Доря</w:t>
      </w:r>
      <w:r>
        <w:t xml:space="preserve"> </w:t>
      </w:r>
      <w:r>
        <w:t xml:space="preserve">Флора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bookmarkEnd w:id="21"/>
    <w:bookmarkStart w:id="25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программы(рис. 7.1).</w:t>
      </w:r>
    </w:p>
    <w:p>
      <w:pPr>
        <w:pStyle w:val="CaptionedFigure"/>
      </w:pPr>
      <w:r>
        <w:drawing>
          <wp:inline>
            <wp:extent cx="5334000" cy="2910570"/>
            <wp:effectExtent b="0" l="0" r="0" t="0"/>
            <wp:docPr descr="Рис. 7.1: Приложение, реализующее режим однократного гаммирования" title="fig:" id="23" name="Picture"/>
            <a:graphic>
              <a:graphicData uri="http://schemas.openxmlformats.org/drawingml/2006/picture">
                <pic:pic>
                  <pic:nvPicPr>
                    <pic:cNvPr descr="image/lab7.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7.1: Приложение, реализующее режим однократного гаммирования</w:t>
      </w:r>
    </w:p>
    <w:p>
      <w:pPr>
        <w:pStyle w:val="BodyText"/>
      </w:pPr>
      <w:r>
        <w:t xml:space="preserve">• In[21]: импорт необходимых библиотек</w:t>
      </w:r>
      <w:r>
        <w:t xml:space="preserve"> </w:t>
      </w:r>
      <w:r>
        <w:t xml:space="preserve">• In[22]: функция, реализующая сложение по модулю два двух строк</w:t>
      </w:r>
      <w:r>
        <w:t xml:space="preserve"> </w:t>
      </w:r>
      <w:r>
        <w:t xml:space="preserve">• In[23]: открытый/исходный текст</w:t>
      </w:r>
      <w:r>
        <w:t xml:space="preserve"> </w:t>
      </w:r>
      <w:r>
        <w:t xml:space="preserve">• In[24]: создание ключа той же длины, что и открытый текст</w:t>
      </w:r>
      <w:r>
        <w:t xml:space="preserve"> </w:t>
      </w:r>
      <w:r>
        <w:t xml:space="preserve">• In[25]: получение шифротекста с помощию функции, созданной ранее, при</w:t>
      </w:r>
      <w:r>
        <w:t xml:space="preserve"> </w:t>
      </w:r>
      <w:r>
        <w:t xml:space="preserve">условии, что известны открытый текст и ключ</w:t>
      </w:r>
      <w:r>
        <w:t xml:space="preserve"> </w:t>
      </w:r>
      <w:r>
        <w:t xml:space="preserve">• In[26]: получение открытого текста с помощью функции, созданной ранее,</w:t>
      </w:r>
      <w:r>
        <w:t xml:space="preserve"> </w:t>
      </w:r>
      <w:r>
        <w:t xml:space="preserve">при условии, что известны шифротекст и ключ</w:t>
      </w:r>
      <w:r>
        <w:t xml:space="preserve"> </w:t>
      </w:r>
      <w:r>
        <w:t xml:space="preserve">• In[27]: получение ключа с помощью функции, созданной ранее, при условии,</w:t>
      </w:r>
      <w:r>
        <w:t xml:space="preserve"> </w:t>
      </w:r>
      <w:r>
        <w:t xml:space="preserve">что известны открытый текст и шифротекст</w:t>
      </w:r>
    </w:p>
    <w:bookmarkEnd w:id="25"/>
    <w:bookmarkStart w:id="26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</w:t>
      </w:r>
    </w:p>
    <w:bookmarkEnd w:id="26"/>
    <w:bookmarkStart w:id="27" w:name="список-литератур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Однократное гаммирование [Электронный ресурс]. URL: https://esystem.</w:t>
      </w:r>
      <w:r>
        <w:t xml:space="preserve"> </w:t>
      </w:r>
      <w:r>
        <w:t xml:space="preserve">rudn.ru/pluginfile.php/1651639/mod_resource/content/2/007-lab_cryptogamma.pdf.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Кинсиклунон Доря Флора</dc:creator>
  <dc:language>ru-RU</dc:language>
  <cp:keywords/>
  <dcterms:created xsi:type="dcterms:W3CDTF">2023-10-19T20:46:17Z</dcterms:created>
  <dcterms:modified xsi:type="dcterms:W3CDTF">2023-10-19T20:46:17Z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