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</w:pPr>
      <w:r>
        <w:rPr>
          <w:rFonts w:ascii="Microsoft YaHei" w:hAnsi="Microsoft YaHei" w:eastAsia="Microsoft YaHei"/>
          <w:b/>
          <w:i w:val="0"/>
          <w:sz w:val="34"/>
        </w:rPr>
        <w:t>PandaAI 因子挖掘 · 净超额为正的候选与原始提交公式</w:t>
      </w:r>
    </w:p>
    <w:p>
      <w:pPr>
        <w:spacing w:after="160" w:before="0"/>
      </w:pPr>
      <w:r>
        <w:rPr>
          <w:rFonts w:ascii="Microsoft YaHei" w:hAnsi="Microsoft YaHei" w:eastAsia="Microsoft YaHei"/>
          <w:b w:val="0"/>
          <w:i w:val="0"/>
          <w:sz w:val="19"/>
        </w:rPr>
        <w:t>五个阶段的完整研究留下 174 个成功回测的候选，其中扣成本后净超额为正 39 个。下表列出每一个的原始提交公式行（逐字复制，未做任何改写）与后续判定。本文件只做研究事实归纳，不构成投资建议。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7597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8"/>
              </w:rPr>
              <w:t>数据区间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8"/>
              </w:rPr>
              <w:t>2021-09-10 → 2026-09-09（服务端 5 年硬上限）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8"/>
              </w:rPr>
              <w:t>调仓周期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8"/>
              </w:rPr>
              <w:t>10 日（阶段一/二）· 5 日（阶段三–五）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8"/>
              </w:rPr>
              <w:t>收益分组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8"/>
              </w:rPr>
              <w:t>10 组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8"/>
              </w:rPr>
              <w:t>单边成本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8"/>
              </w:rPr>
              <w:t>0.3%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8"/>
              </w:rPr>
              <w:t>股票池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8"/>
              </w:rPr>
              <w:t>沪深全A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8"/>
              </w:rPr>
              <w:t>多重检验阈值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8"/>
              </w:rPr>
              <w:t>p &lt; 0.0003（分母 N=184）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DECEC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读这份清单前必须先看这三条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「净超额为正」不等于「可用」。39 个里只有 12 个通过多重检验阈值，10 个已被后续批次的证伪测试推翻，其余 17 个不显著。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去重后真正存活的只有一条轴：3–6 个月反转（BIAS(CLOSE,90)）。它的净超额也只有 +5~6%。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排名最靠前的几个是最需要警惕的。净额最高的 size-mcap（+20.66%）、xs-illiq20（+19.27%）、x2-barra-nlmcap（+6.06%）全部在「剔除市值最小 20%」的测试下大幅回落或翻负 —— 它们是微盘尾部暴露，不是独立因子。</w:t>
            </w:r>
          </w:p>
        </w:tc>
      </w:tr>
    </w:tbl>
    <w:p>
      <w:pPr>
        <w:spacing w:after="40"/>
      </w:pPr>
    </w:p>
    <w:p>
      <w:pPr>
        <w:spacing w:before="280" w:after="100"/>
        <w:pBdr>
          <w:bottom w:val="single" w:sz="8" w:color="D0D7E2"/>
        </w:pBdr>
      </w:pPr>
      <w:r>
        <w:rPr>
          <w:rFonts w:ascii="Microsoft YaHei" w:hAnsi="Microsoft YaHei" w:eastAsia="Microsoft YaHei"/>
          <w:b/>
          <w:color w:val="1F4E8C"/>
          <w:sz w:val="28"/>
        </w:rPr>
        <w:t>一、口径说明（读表前先看）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41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82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定义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原始提交行格式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名称 ~ 公式 ~ 方向 —— 逐字复制自轮次文件，未做任何改写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方向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0 = 因子值越小越好（多头 = 分组1）；1 = 越大越好（多头 = 分组10）。分组编号不跟随方向参数，看错一端结论全部反号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净超额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方向选定端多头组超额收益 − 年化换手成本。不是平台头条的「多空年化」—— 后者隐含一条 A 股散户无法建立的空头腿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年化换手成本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换手率 × 0.003 × 2 × (252 / 周期)。10 日周期系数 0.1512，5 日周期系数 0.3024（单边 0.3%，买卖两侧都计）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多重检验阈值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0.05 / 184 = 0.0003。分母包含全部测过的候选（含失败者）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IC_p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IC_mean 的 t 统计量 p 值。Rank_IC 没有自己的 p 值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单调性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十个分组收益与分组序号的秩相关，越接近 1 越规整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状态列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显著 = 通过上述阈值；不显著 = 未通过；已证伪 = 被后续批次推翻</w:t>
            </w:r>
          </w:p>
        </w:tc>
      </w:tr>
    </w:tbl>
    <w:p>
      <w:pPr>
        <w:spacing w:before="280" w:after="100"/>
        <w:pBdr>
          <w:bottom w:val="single" w:sz="8" w:color="D0D7E2"/>
        </w:pBdr>
      </w:pPr>
      <w:r>
        <w:rPr>
          <w:rFonts w:ascii="Microsoft YaHei" w:hAnsi="Microsoft YaHei" w:eastAsia="Microsoft YaHei"/>
          <w:b/>
          <w:color w:val="1F4E8C"/>
          <w:sz w:val="28"/>
        </w:rPr>
        <w:t>二、按阶段的完整清单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E8C"/>
          <w:sz w:val="24"/>
        </w:rPr>
        <w:t>阶段一 / 二 · 10 日调仓周期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30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轮次文件</w:t>
            </w:r>
          </w:p>
        </w:tc>
        <w:tc>
          <w:tcPr>
            <w:tcW w:type="dxa" w:w="79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净超额</w:t>
            </w:r>
          </w:p>
        </w:tc>
        <w:tc>
          <w:tcPr>
            <w:tcW w:type="dxa" w:w="680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换手</w:t>
            </w:r>
          </w:p>
        </w:tc>
        <w:tc>
          <w:tcPr>
            <w:tcW w:type="dxa" w:w="79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年化成本</w:t>
            </w:r>
          </w:p>
        </w:tc>
        <w:tc>
          <w:tcPr>
            <w:tcW w:type="dxa" w:w="737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IC_p</w:t>
            </w:r>
          </w:p>
        </w:tc>
        <w:tc>
          <w:tcPr>
            <w:tcW w:type="dxa" w:w="62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单调性</w:t>
            </w:r>
          </w:p>
        </w:tc>
        <w:tc>
          <w:tcPr>
            <w:tcW w:type="dxa" w:w="147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判定</w:t>
            </w:r>
          </w:p>
        </w:tc>
        <w:tc>
          <w:tcPr>
            <w:tcW w:type="dxa" w:w="3231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原始提交行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candidates.txt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+3.30%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46.90%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7.09%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0.0000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0.83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0D7A45"/>
                <w:sz w:val="15"/>
              </w:rPr>
              <w:t>显著（p &lt; 0.0003）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rev-bias60 ~ BIAS(CLOSE,60)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candidates.txt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+9.36%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34.90%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5.28%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0.0000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0.99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A4262C"/>
                <w:sz w:val="15"/>
              </w:rPr>
              <w:t>已证伪：剔除市值最小 20% 后 +9.36% → −17.51%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illiq-amihud20 ~ MA(ABS(RETURNS(CLOSE,1))/AMOUNT,20) ~ 1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candidates.txt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+0.47%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58.38%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8.83%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0.0000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0.85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A4262C"/>
                <w:sz w:val="15"/>
              </w:rPr>
              <w:t>已证伪：换手 58.38%，年化成本 8.83% 把 9.30% 毛超额吃光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turn-surge ~ MA(TURNOVER,5)/MA(TURNOVER,60)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candidates.txt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+20.66%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8.51%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1.29%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0.0890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0.94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A4262C"/>
                <w:sz w:val="15"/>
              </w:rPr>
              <w:t>已证伪：剔除微盘后 +20.66% → +9.87%，换手 6.06% → 49.28%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size-mcap ~ MARKET_CAP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falsify.txt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+1.38%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45.36%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6.86%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0.0000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0.13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0D7A45"/>
                <w:sz w:val="15"/>
              </w:rPr>
              <w:t>显著（p &lt; 0.0003）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ex20-rev-bias60 ~ IF(RANK(MARKET_CAP) &lt; 0.2, 999999, BIAS(CLOSE,60))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falsify.txt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+9.87%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49.28%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7.45%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0.0752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0.94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A4262C"/>
                <w:sz w:val="15"/>
              </w:rPr>
              <w:t>已证伪：极值哨兵 ±999999 使单调性失真，测试不可读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ex20-size-mcap ~ IF(RANK(MARKET_CAP) &lt; 0.2, 999999, MARKET_CAP)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falsify.txt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+19.27%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13.60%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2.06%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0.0002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0.96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A4262C"/>
                <w:sz w:val="15"/>
              </w:rPr>
              <w:t>已证伪：低换手规模倾斜；与 size 的 IC 时序相关 0.907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xs-illiq20 ~ RANK(MA(ABS(RETURNS(CLOSE,1))/AMOUNT,20)) - RANK(MARKET_CAP) ~ 1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falsify.txt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+5.38%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38.88%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5.88%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0.0004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0.84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rev-bias90 ~ BIAS(CLOSE,90)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falsify.txt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+1.18%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5.83%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0.88%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0.1684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0.84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value-bm-ttm ~ ratio_bm_ttm ~ 1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p3.txt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+2.24%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40.50%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6.12%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0.0001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0.67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0D7A45"/>
                <w:sz w:val="15"/>
              </w:rPr>
              <w:t>显著（p &lt; 0.0003）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ex20m-rev-bias90 ~ IF(RANK(MARKET_CAP) &lt; 0.2, 0, BIAS(CLOSE,90))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p3.txt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+5.27%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34.11%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5.16%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0.0007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0.85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rev-bias120 ~ BIAS(CLOSE,120) ~ 0</w:t>
            </w:r>
          </w:p>
        </w:tc>
      </w:tr>
    </w:tbl>
    <w:p>
      <w:pPr>
        <w:spacing w:before="200" w:after="100"/>
      </w:pPr>
      <w:r>
        <w:rPr>
          <w:rFonts w:ascii="Microsoft YaHei" w:hAnsi="Microsoft YaHei" w:eastAsia="Microsoft YaHei"/>
          <w:b/>
          <w:color w:val="1F4E8C"/>
          <w:sz w:val="24"/>
        </w:rPr>
        <w:t>阶段三 · 5 日周期探索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30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轮次文件</w:t>
            </w:r>
          </w:p>
        </w:tc>
        <w:tc>
          <w:tcPr>
            <w:tcW w:type="dxa" w:w="79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净超额</w:t>
            </w:r>
          </w:p>
        </w:tc>
        <w:tc>
          <w:tcPr>
            <w:tcW w:type="dxa" w:w="680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换手</w:t>
            </w:r>
          </w:p>
        </w:tc>
        <w:tc>
          <w:tcPr>
            <w:tcW w:type="dxa" w:w="79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年化成本</w:t>
            </w:r>
          </w:p>
        </w:tc>
        <w:tc>
          <w:tcPr>
            <w:tcW w:type="dxa" w:w="737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IC_p</w:t>
            </w:r>
          </w:p>
        </w:tc>
        <w:tc>
          <w:tcPr>
            <w:tcW w:type="dxa" w:w="62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单调性</w:t>
            </w:r>
          </w:p>
        </w:tc>
        <w:tc>
          <w:tcPr>
            <w:tcW w:type="dxa" w:w="147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判定</w:t>
            </w:r>
          </w:p>
        </w:tc>
        <w:tc>
          <w:tcPr>
            <w:tcW w:type="dxa" w:w="3231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原始提交行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e5-r02.txt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+6.64%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27.10%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8.20%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0.0000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0.84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0D7A45"/>
                <w:sz w:val="15"/>
              </w:rPr>
              <w:t>显著（p &lt; 0.0003）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e5-rev-bias90 ~ BIAS(CLOSE,90)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e5-r02.txt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+0.59%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40.49%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12.24%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0.0000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0.84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0D7A45"/>
                <w:sz w:val="15"/>
              </w:rPr>
              <w:t>显著（p &lt; 0.0003）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e5-rev-roc40 ~ ROC(CLOSE,40)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e5-r02.txt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+3.34%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26.18%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7.92%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0.0002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0.86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0D7A45"/>
                <w:sz w:val="15"/>
              </w:rPr>
              <w:t>显著（p &lt; 0.0003）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e5-rev-roc120 ~ ROC(CLOSE,120)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e5-r05.txt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+6.47%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31.02%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9.38%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0.0000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0.99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A4262C"/>
                <w:sz w:val="15"/>
              </w:rPr>
              <w:t>已证伪：同族，剔除微盘后翻负（−6.54%）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e5-liq-amihud20 ~ MA(ABS(RETURNS(CLOSE,1))/AMOUNT,20) ~ 1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e5-r05.txt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+6.38%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28.97%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8.76%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0.0001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0.97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A4262C"/>
                <w:sz w:val="15"/>
              </w:rPr>
              <w:t>已证伪：同族，剔除微盘后翻负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e5-liq-amihud60 ~ MA(ABS(RETURNS(CLOSE,1))/AMOUNT,60) ~ 1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e5-r05.txt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+4.52%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30.77%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9.30%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0.0002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0.96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A4262C"/>
                <w:sz w:val="15"/>
              </w:rPr>
              <w:t>已证伪：同族，剔除微盘后翻负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e5-liq-amihud120 ~ MA(ABS(RETURNS(CLOSE,1))/AMOUNT,120) ~ 1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e5-r08.txt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+22.13%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6.06%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1.83%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0.0597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0.93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A4262C"/>
                <w:sz w:val="15"/>
              </w:rPr>
              <w:t>已证伪：剔除微盘后腰斩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e5-size-mcap ~ MARKET_CAP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e5-r08.txt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+0.48%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34.47%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10.42%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0.0001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0.83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0D7A45"/>
                <w:sz w:val="15"/>
              </w:rPr>
              <w:t>显著（p &lt; 0.0003）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e5-size-mcap-chg60 ~ MARKET_CAP/DELAY(MARKET_CAP,60)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e5-r09.txt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+2.00%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4.17%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1.26%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0.0985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0.87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e5-val-bm-ttm ~ ratio_bm_ttm ~ 1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e5-r09.txt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+0.10%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2.94%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0.89%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0.4659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0.78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e5-val-sp-ttm ~ ratio_sp_ttm ~ 1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e5-r11.txt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+0.03%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5.67%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1.71%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0.8520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0.16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e5-grow-ocf ~ gr_ocf_ttm ~ 1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e5-r12.txt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+0.48%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18.69%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5.65%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0.0039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0.94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e5-tech-bollwidth ~ BOLL_WIDTH(CLOSE,20)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e5-r15.txt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+4.47%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2.07%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0.63%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0.0422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0.87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e5-qual-roa-low ~ oper_roa_ttm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e5-r15.txt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+4.44%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2.01%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0.61%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0.8133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0.96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e5-qual-ebit-rev-low ~ oper_ebit_to_rev_ttm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e5-r15.txt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+6.45%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3.13%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0.95%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0.4474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0.33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e5-val-ep-low ~ ratio_ep_ttm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e5-r15.txt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+5.38%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48.24%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14.59%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0.0491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0.94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e5-size-mcap-ex20 ~ IF(RANK(MARKET_CAP) &lt; 0.2, 999999, MARKET_CAP)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e5-r15.txt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+0.99%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29.48%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8.91%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0.0000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0.63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0D7A45"/>
                <w:sz w:val="15"/>
              </w:rPr>
              <w:t>显著（p &lt; 0.0003）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e5-rev-bias90-ex20 ~ IF(RANK(MARKET_CAP) &lt; 0.2, 0, BIAS(CLOSE,90)) ~ 0</w:t>
            </w:r>
          </w:p>
        </w:tc>
      </w:tr>
    </w:tbl>
    <w:p>
      <w:pPr>
        <w:spacing w:before="200" w:after="100"/>
      </w:pPr>
      <w:r>
        <w:rPr>
          <w:rFonts w:ascii="Microsoft YaHei" w:hAnsi="Microsoft YaHei" w:eastAsia="Microsoft YaHei"/>
          <w:b/>
          <w:color w:val="1F4E8C"/>
          <w:sz w:val="24"/>
        </w:rPr>
        <w:t>阶段四 · Barra / 量能 / 振荡器 / 日内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30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轮次文件</w:t>
            </w:r>
          </w:p>
        </w:tc>
        <w:tc>
          <w:tcPr>
            <w:tcW w:type="dxa" w:w="79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净超额</w:t>
            </w:r>
          </w:p>
        </w:tc>
        <w:tc>
          <w:tcPr>
            <w:tcW w:type="dxa" w:w="680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换手</w:t>
            </w:r>
          </w:p>
        </w:tc>
        <w:tc>
          <w:tcPr>
            <w:tcW w:type="dxa" w:w="79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年化成本</w:t>
            </w:r>
          </w:p>
        </w:tc>
        <w:tc>
          <w:tcPr>
            <w:tcW w:type="dxa" w:w="737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IC_p</w:t>
            </w:r>
          </w:p>
        </w:tc>
        <w:tc>
          <w:tcPr>
            <w:tcW w:type="dxa" w:w="62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单调性</w:t>
            </w:r>
          </w:p>
        </w:tc>
        <w:tc>
          <w:tcPr>
            <w:tcW w:type="dxa" w:w="147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判定</w:t>
            </w:r>
          </w:p>
        </w:tc>
        <w:tc>
          <w:tcPr>
            <w:tcW w:type="dxa" w:w="3231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原始提交行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x2-r01.txt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+6.06%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4.79%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1.45%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0.0000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0.97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A4262C"/>
                <w:sz w:val="15"/>
              </w:rPr>
              <w:t>已证伪：剔除微盘后 +6.06% → −11.71%，换手 4.79% → 46.78%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x2-barra-nlmcap ~ non_linear_market_cap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x2-r02.txt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+0.70%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6.50%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1.97%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0.0218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0.75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x2-barra-liquidity ~ liquidity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x2-r02.txt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+5.98%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2.00%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0.60%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0.0191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0.91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x2-barra-growth ~ growth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x2-r02.txt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+0.62%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5.87%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1.78%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0.8309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0.58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x2-barra-profit ~ profitability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x2-r05.txt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+2.06%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8.39%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2.54%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0.1169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0.97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x2-vol-volt60 ~ VOLT60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x2-r09.txt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+0.39%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27.74%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8.39%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0.0000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0D7A45"/>
                <w:sz w:val="15"/>
              </w:rPr>
              <w:t>显著（p &lt; 0.0003）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x2-osc-tapi ~ TAPI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x2-r15.txt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+0.81%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31.14%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9.42%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0.0001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0.85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0D7A45"/>
                <w:sz w:val="15"/>
              </w:rPr>
              <w:t>显著（p &lt; 0.0003）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x2-retry-trix-op ~ TRIX(CLOSE,12,9) ~ 0</w:t>
            </w:r>
          </w:p>
        </w:tc>
      </w:tr>
    </w:tbl>
    <w:p>
      <w:pPr>
        <w:spacing w:before="200" w:after="100"/>
      </w:pPr>
      <w:r>
        <w:rPr>
          <w:rFonts w:ascii="Microsoft YaHei" w:hAnsi="Microsoft YaHei" w:eastAsia="Microsoft YaHei"/>
          <w:b/>
          <w:color w:val="1F4E8C"/>
          <w:sz w:val="24"/>
        </w:rPr>
        <w:t>阶段五 · 报表 / cal_mins / 算子 / Python 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30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轮次文件</w:t>
            </w:r>
          </w:p>
        </w:tc>
        <w:tc>
          <w:tcPr>
            <w:tcW w:type="dxa" w:w="79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净超额</w:t>
            </w:r>
          </w:p>
        </w:tc>
        <w:tc>
          <w:tcPr>
            <w:tcW w:type="dxa" w:w="680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换手</w:t>
            </w:r>
          </w:p>
        </w:tc>
        <w:tc>
          <w:tcPr>
            <w:tcW w:type="dxa" w:w="79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年化成本</w:t>
            </w:r>
          </w:p>
        </w:tc>
        <w:tc>
          <w:tcPr>
            <w:tcW w:type="dxa" w:w="737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IC_p</w:t>
            </w:r>
          </w:p>
        </w:tc>
        <w:tc>
          <w:tcPr>
            <w:tcW w:type="dxa" w:w="62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单调性</w:t>
            </w:r>
          </w:p>
        </w:tc>
        <w:tc>
          <w:tcPr>
            <w:tcW w:type="dxa" w:w="147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判定</w:t>
            </w:r>
          </w:p>
        </w:tc>
        <w:tc>
          <w:tcPr>
            <w:tcW w:type="dxa" w:w="3231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原始提交行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x3-r11.txt（Python 模式）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+3.78%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28.37%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8.58%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0.0000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0.83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0D7A45"/>
                <w:sz w:val="15"/>
              </w:rPr>
              <w:t>显著（p &lt; 0.0003）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x3-py-amprev ~ factors/x3_amprev.py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x3-r12.txt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+2.39%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30.57%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9.24%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0.0000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0.74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0D7A45"/>
                <w:sz w:val="15"/>
              </w:rPr>
              <w:t>显著（p &lt; 0.0003）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x3-rev90-ex10 ~ IF(RANK(MARKET_CAP) &lt; 0.1, 0, BIAS(CLOSE,90)) ~ 0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x3-r14.txt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+1.57%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2.24%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0.68%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0.1654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0.84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x3-bm-smooth20 ~ MA(ratio_bm_ttm,20) ~ 1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x3-r14.txt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+5.99%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1.82%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0.55%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0.0207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5"/>
              </w:rPr>
              <w:t>0.90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color w:val="8A5A00"/>
                <w:sz w:val="15"/>
              </w:rPr>
              <w:t>不显著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5"/>
              </w:rPr>
              <w:t>x3-growth-smooth20 ~ MA(growth,20) ~ 0</w:t>
            </w:r>
          </w:p>
        </w:tc>
      </w:tr>
    </w:tbl>
    <w:p>
      <w:pPr>
        <w:spacing w:before="280" w:after="100"/>
        <w:pBdr>
          <w:bottom w:val="single" w:sz="8" w:color="D0D7E2"/>
        </w:pBdr>
      </w:pPr>
      <w:r>
        <w:rPr>
          <w:rFonts w:ascii="Microsoft YaHei" w:hAnsi="Microsoft YaHei" w:eastAsia="Microsoft YaHei"/>
          <w:b/>
          <w:color w:val="1F4E8C"/>
          <w:sz w:val="28"/>
        </w:rPr>
        <w:t>三、去重后真正存活的轴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i w:val="0"/>
          <w:sz w:val="19"/>
        </w:rPr>
        <w:t>把同一因子的重复测试合并后，同时满足「显著 + 扣成本为正 + 未被证伪」的只有一条轴 —— 3–6 个月反转。下表是它的全部原始提交行：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3175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原始提交行</w:t>
            </w:r>
          </w:p>
        </w:tc>
        <w:tc>
          <w:tcPr>
            <w:tcW w:type="dxa" w:w="79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净超额</w:t>
            </w:r>
          </w:p>
        </w:tc>
        <w:tc>
          <w:tcPr>
            <w:tcW w:type="dxa" w:w="624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周期</w:t>
            </w:r>
          </w:p>
        </w:tc>
        <w:tc>
          <w:tcPr>
            <w:tcW w:type="dxa" w:w="737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换手</w:t>
            </w:r>
          </w:p>
        </w:tc>
        <w:tc>
          <w:tcPr>
            <w:tcW w:type="dxa" w:w="737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IC_p</w:t>
            </w:r>
          </w:p>
        </w:tc>
        <w:tc>
          <w:tcPr>
            <w:tcW w:type="dxa" w:w="3798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6"/>
              </w:rPr>
              <w:t>e5-rev-bias90 ~ BIAS(CLOSE,90) ~ 0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+6.64%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5 日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27.10%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0.0000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本研究发现的最强单因子；分自然年 6/6 年方向一致；剔除微盘后仍为正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6"/>
              </w:rPr>
              <w:t>rev-bias90 ~ BIAS(CLOSE,90) ~ 0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+5.38%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10 日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38.88%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0.0004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同一因子在 10 日周期上的复现 —— 跨周期稳健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6"/>
              </w:rPr>
              <w:t>ex20m-rev-bias90 ~ IF(RANK(MARKET_CAP) &lt; 0.2, 0, BIAS(CLOSE,90)) ~ 0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+2.24%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5 日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40.50%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0.0001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剔除市值最小 20%（中点哨兵）—— 规模污染测试通过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Consolas" w:hAnsi="Consolas" w:eastAsia="Microsoft YaHei"/>
                <w:sz w:val="16"/>
              </w:rPr>
              <w:t>e5-rev-bias90-ex20 ~ IF(RANK(MARKET_CAP) &lt; 0.2, 0, BIAS(CLOSE,90)) ~ 0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+0.99%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5 日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29.48%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0.0000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6"/>
              </w:rPr>
              <w:t>同一测试的另一次运行 —— 与上一行是同一个轴的重复测试，不是独立发现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8F6EE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机制：过去 3–6 个月涨幅过大的股票，随后系统性跑输 —— 过度反应后的均值回复。四条独立证据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1. 统计显著（IC_p 0.0000）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2. 分自然年 6/6 年方向一致（跨 2021–2026 六种风格环境）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3. 回看期呈平台而非悬崖：30 日 −4.02% → 60 日 +3.30% → 90 日 +5.38% → 120 日 +5.27%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4. 剔除市值最小 20% 后仍为正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主要风险：换手 27–40%，年化成本 5.2–8.2%，吃掉了毛超额的一半。净超额对成本假设高度敏感 —— 0.3% 单边对中低价股可能偏乐观。</w:t>
            </w:r>
          </w:p>
        </w:tc>
      </w:tr>
    </w:tbl>
    <w:p>
      <w:pPr>
        <w:spacing w:after="40"/>
      </w:pPr>
    </w:p>
    <w:p>
      <w:pPr>
        <w:spacing w:before="280" w:after="100"/>
        <w:pBdr>
          <w:bottom w:val="single" w:sz="8" w:color="D0D7E2"/>
        </w:pBdr>
      </w:pPr>
      <w:r>
        <w:rPr>
          <w:rFonts w:ascii="Microsoft YaHei" w:hAnsi="Microsoft YaHei" w:eastAsia="Microsoft YaHei"/>
          <w:b/>
          <w:color w:val="1F4E8C"/>
          <w:sz w:val="28"/>
        </w:rPr>
        <w:t>四、Python 模式因子的完整源码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i w:val="0"/>
          <w:sz w:val="19"/>
        </w:rPr>
        <w:t>公式模式下「名称 ~ 公式 ~ 方向」的第二段是公式字符串；Python 模式下它是 .py 文件路径。以下为该因子的全文。</w:t>
      </w:r>
    </w:p>
    <w:p>
      <w:pPr>
        <w:spacing w:after="60" w:before="0"/>
      </w:pPr>
      <w:r>
        <w:rPr>
          <w:rFonts w:ascii="Microsoft YaHei" w:hAnsi="Microsoft YaHei" w:eastAsia="Microsoft YaHei"/>
          <w:b/>
          <w:i w:val="0"/>
          <w:sz w:val="20"/>
        </w:rPr>
        <w:t>x3-py-amprev   —   factors\x3_amprev.py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>"""振幅条件化反转 / amplitude-conditioned reversal.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>假说（与 condrev 相反）：反转来自**过度反应**，而过度反应在**高振幅**股票上更剧烈，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>因此反转信号应在高振幅组更强，而不是低波动组。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>同一基础信号、相反预测 —— 两个 Python 因子构成一组对照实验：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>若 condrev 优于 amprev，支持"噪声假说"；反之支持"过度反应假说"；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>若两者都劣于无条件反转，则说明条件化本身没有增量信息。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>实现：反转信号乘以振幅的截面排名（连续加权，无硬切割）。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>方向 0：因子值越小越好。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>"""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>class AmpReversal(Factor):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   def calculate(self, factors):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       close = factors['close']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       high = factors['high']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       low = factors['low']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       ma90 = MA(close, 90)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       bias = (close - ma90) / ma90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       # 20 日平均日内振幅的截面排名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       amp_rank = RANK(MA((high - low) / close, 20))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</w:t>
      </w:r>
    </w:p>
    <w:p>
      <w:pPr>
        <w:spacing w:after="0" w:before="0"/>
      </w:pPr>
      <w:r>
        <w:rPr>
          <w:rFonts w:ascii="Consolas" w:hAnsi="Consolas" w:eastAsia="Microsoft YaHei"/>
          <w:sz w:val="15"/>
        </w:rPr>
        <w:t xml:space="preserve">        return bias * amp_rank</w:t>
      </w:r>
    </w:p>
    <w:p>
      <w:pPr>
        <w:spacing w:before="280" w:after="100"/>
        <w:pBdr>
          <w:bottom w:val="single" w:sz="8" w:color="D0D7E2"/>
        </w:pBdr>
      </w:pPr>
      <w:r>
        <w:rPr>
          <w:rFonts w:ascii="Microsoft YaHei" w:hAnsi="Microsoft YaHei" w:eastAsia="Microsoft YaHei"/>
          <w:b/>
          <w:color w:val="1F4E8C"/>
          <w:sz w:val="28"/>
        </w:rPr>
        <w:t>五、方法与局限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28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7937"/>
            <w:shd w:val="clear" w:color="auto" w:fill="EDF2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成本口径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0.3% 单边含佣金+印花税+滑点的近似。报告的 turnoverRate 是单边换手率，完整买卖两侧都要计成本，故乘 2。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样本外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服务端回测窗口硬上限 5 年，无法另设更早的 5 年区间，全部结论均为样本内。稳健性改用分自然年拆解 + 区间内子段。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横截面相关性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pandaai-cli 0.1.7 的 download.py 在结果 nodes 中查找 url 字段，而运行结果不含该字段，函数静默返回，逐股因子值面板无法导出，横截面 Spearman 相关无法计算。冗余分析只能用 IC 时序相关替代。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规模污染测试方法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用 IF(RANK(MARKET_CAP) &lt; 阈值, 哨兵, 因子) 把最小的一批股票顶到不持有的那一端。哨兵取中点值而非极值（±999999）—— 实测极值哨兵会把单调性打到 0.13，使测试不可读。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未计入的现实摩擦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17"/>
              </w:rPr>
              <w:t>冲击成本、涨跌停无法成交、停牌与流动性约束。</w:t>
            </w:r>
          </w:p>
        </w:tc>
      </w:tr>
    </w:tbl>
    <w:p>
      <w:pPr>
        <w:spacing w:before="280" w:after="100"/>
        <w:pBdr>
          <w:bottom w:val="single" w:sz="8" w:color="D0D7E2"/>
        </w:pBdr>
      </w:pPr>
      <w:r>
        <w:rPr>
          <w:rFonts w:ascii="Microsoft YaHei" w:hAnsi="Microsoft YaHei" w:eastAsia="Microsoft YaHei"/>
          <w:b/>
          <w:color w:val="1F4E8C"/>
          <w:sz w:val="28"/>
        </w:rPr>
        <w:t>六、免责声明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7F9FC"/>
          </w:tcPr>
          <w:p>
            <w:pPr>
              <w:spacing w:after="6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免责声明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本文件为研究方法层面的整理与事实归纳，不构成任何投资建议，也不验证任何收益声明。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全部本地数字均为比赛规则代理，不是平台官方 A/B/C 积分；平台后台的正式结算、原始精度与最新接口行为优先。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平台头条的「多空年化」隐含一条 A 股散户无法建立的空头腿，本文件全程未引用其作为结论。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pandaai-cli 为第三方包，命令、计费与平台行为会随时间变化。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