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34"/>
          <w:szCs w:val="34"/>
        </w:rPr>
        <w:t xml:space="preserve">Integrated pork plant: slaughtering, cutting and cooked sausages</w:t>
      </w:r>
    </w:p>
    <w:p>
      <w:pPr>
        <w:spacing w:after="100"/>
      </w:pPr>
      <w:r>
        <w:rPr>
          <w:rFonts w:ascii="Arial" w:cs="Arial" w:eastAsia="Arial" w:hAnsi="Arial"/>
          <w:color w:val="404040"/>
          <w:sz w:val="24"/>
          <w:szCs w:val="24"/>
        </w:rPr>
        <w:t xml:space="preserve">Process data for mass and heat integration, compiled from the literature</w:t>
      </w:r>
    </w:p>
    <w:p>
      <w:pPr>
        <w:spacing w:after="20"/>
      </w:pPr>
      <w:r>
        <w:rPr>
          <w:rFonts w:ascii="Arial" w:cs="Arial" w:eastAsia="Arial" w:hAnsi="Arial"/>
          <w:color w:val="1F3864"/>
          <w:sz w:val="20"/>
          <w:szCs w:val="20"/>
        </w:rPr>
        <w:t xml:space="preserve">Daniel Flórez-Orrego, Meire Ribeiro Domingos, Pullah Bhatnagar, Oktay Boztas</w:t>
      </w:r>
    </w:p>
    <w:p>
      <w:pPr>
        <w:pBdr>
          <w:bottom w:val="single" w:color="1F3864" w:sz="6" w:space="4"/>
        </w:pBdr>
        <w:spacing w:after="240"/>
      </w:pPr>
      <w:r>
        <w:rPr>
          <w:rFonts w:ascii="Arial" w:cs="Arial" w:eastAsia="Arial" w:hAnsi="Arial"/>
          <w:i/>
          <w:iCs/>
          <w:color w:val="595959"/>
          <w:sz w:val="18"/>
          <w:szCs w:val="18"/>
        </w:rPr>
        <w:t xml:space="preserve">Industrial Process and Energy Systems Engineering (IPESE) group, EPFL, Sion, Switzerland</w:t>
      </w:r>
    </w:p>
    <w:p>
      <w:pPr>
        <w:spacing w:after="120" w:before="0" w:line="264"/>
      </w:pPr>
      <w:r>
        <w:rPr>
          <w:rFonts w:ascii="Arial" w:cs="Arial" w:eastAsia="Arial" w:hAnsi="Arial"/>
          <w:sz w:val="20"/>
          <w:szCs w:val="20"/>
        </w:rPr>
        <w:t xml:space="preserve">This case study describes the process data of the integrated pork plant model (Meat_plant) of the IETS Task XXIV database of ex-ante models: the material flows, the process electricity and the 14 thermal streams of a plant that slaughters pigs, cuts the carcasses and produces cooked sausages, per tonne of hot carcass. The data are compiled from a review of the literature on the energy use of slaughterhouses and meat processing: the process integration studies of Fritzson and Berntsson (2006a, 2006b), the European reference document on best available techniques (Karlis et al., 2024), a Swiss pinch study of a meat plant (Meier, 2007) and sector statistics. Table 5 gives the source of each value.</w:t>
      </w:r>
    </w:p>
    <w:p>
      <w:pPr>
        <w:pStyle w:val="Heading1"/>
        <w:keepNext/>
        <w:spacing w:after="120" w:before="240"/>
      </w:pPr>
      <w:r>
        <w:rPr>
          <w:rFonts w:ascii="Arial" w:cs="Arial" w:eastAsia="Arial" w:hAnsi="Arial"/>
          <w:b/>
          <w:bCs/>
          <w:color w:val="1F3864"/>
          <w:sz w:val="26"/>
          <w:szCs w:val="26"/>
        </w:rPr>
        <w:t xml:space="preserve">1. Process description</w:t>
      </w:r>
    </w:p>
    <w:p>
      <w:pPr>
        <w:keepNext w:val="false"/>
        <w:spacing w:after="120" w:before="0" w:line="264"/>
      </w:pPr>
      <w:r>
        <w:rPr>
          <w:rFonts w:ascii="Arial" w:cs="Arial" w:eastAsia="Arial" w:hAnsi="Arial"/>
          <w:sz w:val="20"/>
          <w:szCs w:val="20"/>
        </w:rPr>
        <w:t xml:space="preserve">The plant slaughters pigs, chills and cuts the carcasses, sells most of the meat as fresh cuts and turns the trimmings into cooked sausages of the cervelat type. Combining a slaughter line with meat processing on one site is typical of large plants (Fritzson and Berntsson, 2006a).</w:t>
      </w:r>
    </w:p>
    <w:p>
      <w:pPr>
        <w:keepNext/>
        <w:spacing w:after="120" w:before="0" w:line="264"/>
      </w:pPr>
      <w:r>
        <w:rPr>
          <w:rFonts w:ascii="Arial" w:cs="Arial" w:eastAsia="Arial" w:hAnsi="Arial"/>
          <w:sz w:val="20"/>
          <w:szCs w:val="20"/>
        </w:rPr>
        <w:t xml:space="preserve">Process steps and conditions:</w:t>
      </w:r>
    </w:p>
    <w:p>
      <w:pPr>
        <w:pStyle w:val="ListParagraph"/>
        <w:numPr>
          <w:ilvl w:val="0"/>
          <w:numId w:val="2"/>
        </w:numPr>
        <w:spacing w:after="40"/>
      </w:pPr>
      <w:r>
        <w:rPr>
          <w:rFonts w:ascii="Arial" w:cs="Arial" w:eastAsia="Arial" w:hAnsi="Arial"/>
          <w:sz w:val="20"/>
          <w:szCs w:val="20"/>
        </w:rPr>
        <w:t xml:space="preserve">Stunning and bleeding; the blood is collected and chilled to about 5 °C.</w:t>
      </w:r>
    </w:p>
    <w:p>
      <w:pPr>
        <w:pStyle w:val="ListParagraph"/>
        <w:numPr>
          <w:ilvl w:val="0"/>
          <w:numId w:val="2"/>
        </w:numPr>
        <w:spacing w:after="40"/>
      </w:pPr>
      <w:r>
        <w:rPr>
          <w:rFonts w:ascii="Arial" w:cs="Arial" w:eastAsia="Arial" w:hAnsi="Arial"/>
          <w:sz w:val="20"/>
          <w:szCs w:val="20"/>
        </w:rPr>
        <w:t xml:space="preserve">Scalding in water at 58 to 65 °C for 3 to 6 min, with the tank held near 60 °C by steam, followed by mechanical dehairing.</w:t>
      </w:r>
    </w:p>
    <w:p>
      <w:pPr>
        <w:pStyle w:val="ListParagraph"/>
        <w:numPr>
          <w:ilvl w:val="0"/>
          <w:numId w:val="2"/>
        </w:numPr>
        <w:spacing w:after="40"/>
      </w:pPr>
      <w:r>
        <w:rPr>
          <w:rFonts w:ascii="Arial" w:cs="Arial" w:eastAsia="Arial" w:hAnsi="Arial"/>
          <w:sz w:val="20"/>
          <w:szCs w:val="20"/>
        </w:rPr>
        <w:t xml:space="preserve">Singeing in a direct-fired oven at 900 to 1,000 °C to remove residual hair, then polishing, evisceration and splitting.</w:t>
      </w:r>
    </w:p>
    <w:p>
      <w:pPr>
        <w:pStyle w:val="ListParagraph"/>
        <w:numPr>
          <w:ilvl w:val="0"/>
          <w:numId w:val="2"/>
        </w:numPr>
        <w:spacing w:after="40"/>
      </w:pPr>
      <w:r>
        <w:rPr>
          <w:rFonts w:ascii="Arial" w:cs="Arial" w:eastAsia="Arial" w:hAnsi="Arial"/>
          <w:sz w:val="20"/>
          <w:szCs w:val="20"/>
        </w:rPr>
        <w:t xml:space="preserve">Chilling of the carcasses from about 38 °C to 4 °C; EU rules require pig meat to reach at most 7 °C before cutting or transport.</w:t>
      </w:r>
    </w:p>
    <w:p>
      <w:pPr>
        <w:pStyle w:val="ListParagraph"/>
        <w:numPr>
          <w:ilvl w:val="0"/>
          <w:numId w:val="2"/>
        </w:numPr>
        <w:spacing w:after="40"/>
      </w:pPr>
      <w:r>
        <w:rPr>
          <w:rFonts w:ascii="Arial" w:cs="Arial" w:eastAsia="Arial" w:hAnsi="Arial"/>
          <w:sz w:val="20"/>
          <w:szCs w:val="20"/>
        </w:rPr>
        <w:t xml:space="preserve">Cutting and deboning in chilled rooms; boneless meat is about 1/1.37 of the carcass mass.</w:t>
      </w:r>
    </w:p>
    <w:p>
      <w:pPr>
        <w:pStyle w:val="ListParagraph"/>
        <w:numPr>
          <w:ilvl w:val="0"/>
          <w:numId w:val="2"/>
        </w:numPr>
        <w:spacing w:after="40"/>
      </w:pPr>
      <w:r>
        <w:rPr>
          <w:rFonts w:ascii="Arial" w:cs="Arial" w:eastAsia="Arial" w:hAnsi="Arial"/>
          <w:sz w:val="20"/>
          <w:szCs w:val="20"/>
        </w:rPr>
        <w:t xml:space="preserve">Mixing of trimmings with ice, salt and spices into a batter, filled into casings.</w:t>
      </w:r>
    </w:p>
    <w:p>
      <w:pPr>
        <w:pStyle w:val="ListParagraph"/>
        <w:numPr>
          <w:ilvl w:val="0"/>
          <w:numId w:val="2"/>
        </w:numPr>
        <w:spacing w:after="40"/>
      </w:pPr>
      <w:r>
        <w:rPr>
          <w:rFonts w:ascii="Arial" w:cs="Arial" w:eastAsia="Arial" w:hAnsi="Arial"/>
          <w:sz w:val="20"/>
          <w:szCs w:val="20"/>
        </w:rPr>
        <w:t xml:space="preserve">Cooking with direct steam injection to a core temperature of 74 °C.</w:t>
      </w:r>
    </w:p>
    <w:p>
      <w:pPr>
        <w:pStyle w:val="ListParagraph"/>
        <w:numPr>
          <w:ilvl w:val="0"/>
          <w:numId w:val="2"/>
        </w:numPr>
        <w:spacing w:after="40"/>
      </w:pPr>
      <w:r>
        <w:rPr>
          <w:rFonts w:ascii="Arial" w:cs="Arial" w:eastAsia="Arial" w:hAnsi="Arial"/>
          <w:sz w:val="20"/>
          <w:szCs w:val="20"/>
        </w:rPr>
        <w:t xml:space="preserve">Showering to about 45 °C and chilling to 2 °C.</w:t>
      </w:r>
    </w:p>
    <w:p>
      <w:pPr>
        <w:pStyle w:val="ListParagraph"/>
        <w:numPr>
          <w:ilvl w:val="0"/>
          <w:numId w:val="2"/>
        </w:numPr>
        <w:spacing w:after="40"/>
      </w:pPr>
      <w:r>
        <w:rPr>
          <w:rFonts w:ascii="Arial" w:cs="Arial" w:eastAsia="Arial" w:hAnsi="Arial"/>
          <w:sz w:val="20"/>
          <w:szCs w:val="20"/>
        </w:rPr>
        <w:t xml:space="preserve">Chilled storage at about 2 °C and frozen storage at about −25 °C.</w:t>
      </w:r>
    </w:p>
    <w:p>
      <w:pPr>
        <w:keepNext w:val="false"/>
        <w:spacing w:after="120" w:before="80" w:line="264"/>
      </w:pPr>
      <w:r>
        <w:rPr>
          <w:rFonts w:ascii="Arial" w:cs="Arial" w:eastAsia="Arial" w:hAnsi="Arial"/>
          <w:sz w:val="20"/>
          <w:szCs w:val="20"/>
        </w:rPr>
        <w:t xml:space="preserve">Three water networks serve the plant, all fed with mains water at 11 °C: hot water at 82 °C for knife sterilisers and disinfection, warm water at 55 °C for cleaning, and tap water at 40 °C for hand washing and personnel facilities.</w:t>
      </w:r>
    </w:p>
    <w:p>
      <w:pPr>
        <w:pStyle w:val="Heading1"/>
        <w:keepNext/>
        <w:spacing w:after="120" w:before="240"/>
      </w:pPr>
      <w:r>
        <w:rPr>
          <w:rFonts w:ascii="Arial" w:cs="Arial" w:eastAsia="Arial" w:hAnsi="Arial"/>
          <w:b/>
          <w:bCs/>
          <w:color w:val="1F3864"/>
          <w:sz w:val="26"/>
          <w:szCs w:val="26"/>
        </w:rPr>
        <w:t xml:space="preserve">2. Basis and conventions</w:t>
      </w:r>
    </w:p>
    <w:p>
      <w:pPr>
        <w:pStyle w:val="ListParagraph"/>
        <w:numPr>
          <w:ilvl w:val="0"/>
          <w:numId w:val="3"/>
        </w:numPr>
        <w:spacing w:after="40"/>
      </w:pPr>
      <w:r>
        <w:rPr>
          <w:rFonts w:ascii="Arial" w:cs="Arial" w:eastAsia="Arial" w:hAnsi="Arial"/>
          <w:b/>
          <w:bCs/>
          <w:sz w:val="20"/>
          <w:szCs w:val="20"/>
        </w:rPr>
        <w:t xml:space="preserve">Reference flow:</w:t>
      </w:r>
      <w:r>
        <w:rPr>
          <w:rFonts w:ascii="Arial" w:cs="Arial" w:eastAsia="Arial" w:hAnsi="Arial"/>
          <w:sz w:val="20"/>
          <w:szCs w:val="20"/>
        </w:rPr>
        <w:t xml:space="preserve"> 1 t/h of hot carcass weight, that is 11.05 pigs/h at the Swiss average carcass of 90.5 kg. At this basis, a heat load in kW equals the specific energy in kWh per tonne of carcass, and a mass flow in kg/h equals kg per tonne.</w:t>
      </w:r>
    </w:p>
    <w:p>
      <w:pPr>
        <w:pStyle w:val="ListParagraph"/>
        <w:numPr>
          <w:ilvl w:val="0"/>
          <w:numId w:val="3"/>
        </w:numPr>
        <w:spacing w:after="40"/>
      </w:pPr>
      <w:r>
        <w:rPr>
          <w:rFonts w:ascii="Arial" w:cs="Arial" w:eastAsia="Arial" w:hAnsi="Arial"/>
          <w:b/>
          <w:bCs/>
          <w:sz w:val="20"/>
          <w:szCs w:val="20"/>
        </w:rPr>
        <w:t xml:space="preserve">Reference plant:</w:t>
      </w:r>
      <w:r>
        <w:rPr>
          <w:rFonts w:ascii="Arial" w:cs="Arial" w:eastAsia="Arial" w:hAnsi="Arial"/>
          <w:sz w:val="20"/>
          <w:szCs w:val="20"/>
        </w:rPr>
        <w:t xml:space="preserve"> 700,000 pigs/y over 6,300 operating hours per year, that is 10.06 t/h of carcass (111 pigs/h). Columns labelled "ref. plant" are the 1 t/h values multiplied by 10.06.</w:t>
      </w:r>
    </w:p>
    <w:p>
      <w:pPr>
        <w:pStyle w:val="ListParagraph"/>
        <w:numPr>
          <w:ilvl w:val="0"/>
          <w:numId w:val="3"/>
        </w:numPr>
        <w:spacing w:after="40"/>
      </w:pPr>
      <w:r>
        <w:rPr>
          <w:rFonts w:ascii="Arial" w:cs="Arial" w:eastAsia="Arial" w:hAnsi="Arial"/>
          <w:b/>
          <w:bCs/>
          <w:sz w:val="20"/>
          <w:szCs w:val="20"/>
        </w:rPr>
        <w:t xml:space="preserve">Heat integration:</w:t>
      </w:r>
      <w:r>
        <w:rPr>
          <w:rFonts w:ascii="Arial" w:cs="Arial" w:eastAsia="Arial" w:hAnsi="Arial"/>
          <w:sz w:val="20"/>
          <w:szCs w:val="20"/>
        </w:rPr>
        <w:t xml:space="preserve"> global ΔTmin = 10 K, applied as ΔTmin/2 = 5 K on every stream. Hot streams (H) must be cooled; cold streams (C) must be heated.</w:t>
      </w:r>
    </w:p>
    <w:p>
      <w:pPr>
        <w:pStyle w:val="ListParagraph"/>
        <w:numPr>
          <w:ilvl w:val="0"/>
          <w:numId w:val="3"/>
        </w:numPr>
        <w:spacing w:after="40"/>
      </w:pPr>
      <w:r>
        <w:rPr>
          <w:rFonts w:ascii="Arial" w:cs="Arial" w:eastAsia="Arial" w:hAnsi="Arial"/>
          <w:sz w:val="20"/>
          <w:szCs w:val="20"/>
        </w:rPr>
        <w:t xml:space="preserve">Heat loads are time-averaged over the operating hours; batch steps (cooking, cleaning) are represented by their average load.</w:t>
      </w:r>
    </w:p>
    <w:p>
      <w:pPr>
        <w:pStyle w:val="ListParagraph"/>
        <w:numPr>
          <w:ilvl w:val="0"/>
          <w:numId w:val="3"/>
        </w:numPr>
        <w:spacing w:after="40"/>
      </w:pPr>
      <w:r>
        <w:rPr>
          <w:rFonts w:ascii="Arial" w:cs="Arial" w:eastAsia="Arial" w:hAnsi="Arial"/>
          <w:b/>
          <w:bCs/>
          <w:sz w:val="20"/>
          <w:szCs w:val="20"/>
        </w:rPr>
        <w:t xml:space="preserve">Utilities are not part of the process data:</w:t>
      </w:r>
      <w:r>
        <w:rPr>
          <w:rFonts w:ascii="Arial" w:cs="Arial" w:eastAsia="Arial" w:hAnsi="Arial"/>
          <w:sz w:val="20"/>
          <w:szCs w:val="20"/>
        </w:rPr>
        <w:t xml:space="preserve"> steam, hot-water generation, refrigeration and cooling belong to a utility system outside the model boundary. Refrigeration demands appear as hot streams at the temperature of the product or of the room air.</w:t>
      </w:r>
    </w:p>
    <w:p>
      <w:pPr>
        <w:pStyle w:val="ListParagraph"/>
        <w:numPr>
          <w:ilvl w:val="0"/>
          <w:numId w:val="3"/>
        </w:numPr>
        <w:spacing w:after="40"/>
      </w:pPr>
      <w:r>
        <w:rPr>
          <w:rFonts w:ascii="Arial" w:cs="Arial" w:eastAsia="Arial" w:hAnsi="Arial"/>
          <w:sz w:val="20"/>
          <w:szCs w:val="20"/>
        </w:rPr>
        <w:t xml:space="preserve">Singeing (C1) is a direct-fired duty at 900 to 1,000 °C; the burner and its flue gas belong to the utility system.</w:t>
      </w:r>
    </w:p>
    <w:p>
      <w:pPr>
        <w:keepNext/>
        <w:spacing w:after="60" w:before="200"/>
        <w:jc w:val="center"/>
      </w:pPr>
      <w:r>
        <w:drawing>
          <wp:inline distT="0" distB="0" distL="0" distR="0">
            <wp:extent cx="5905500" cy="4038600"/>
            <wp:effectExtent t="0" r="0" b="0" l="0"/>
            <wp:docPr id="1" name="flowsheet" descr="Block flow diagram of the integrated pork plant, mass flows in kg/h per 1 t/h of hot carcass." title="Pork plant block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4038600"/>
                    </a:xfrm>
                    <a:prstGeom prst="rect">
                      <a:avLst/>
                    </a:prstGeom>
                  </pic:spPr>
                </pic:pic>
              </a:graphicData>
            </a:graphic>
          </wp:inline>
        </w:drawing>
      </w:r>
    </w:p>
    <w:p>
      <w:pPr>
        <w:keepNext/>
        <w:spacing w:after="80" w:before="120"/>
      </w:pPr>
      <w:r>
        <w:rPr>
          <w:rFonts w:ascii="Arial" w:cs="Arial" w:eastAsia="Arial" w:hAnsi="Arial"/>
          <w:b/>
          <w:bCs/>
          <w:sz w:val="18"/>
          <w:szCs w:val="18"/>
        </w:rPr>
        <w:t xml:space="preserve">Figure 1. Block flow diagram of the integrated pork plant, mass flows in kg/h per 1 t/h of hot carcass.</w:t>
      </w:r>
    </w:p>
    <w:p>
      <w:pPr>
        <w:pStyle w:val="Heading1"/>
        <w:keepNext/>
        <w:spacing w:after="120" w:before="240"/>
      </w:pPr>
      <w:r>
        <w:rPr>
          <w:rFonts w:ascii="Arial" w:cs="Arial" w:eastAsia="Arial" w:hAnsi="Arial"/>
          <w:b/>
          <w:bCs/>
          <w:color w:val="1F3864"/>
          <w:sz w:val="26"/>
          <w:szCs w:val="26"/>
        </w:rPr>
        <w:t xml:space="preserve">3. Material flows</w:t>
      </w:r>
    </w:p>
    <w:p>
      <w:pPr>
        <w:keepNext/>
        <w:spacing w:after="80" w:before="120"/>
      </w:pPr>
      <w:r>
        <w:rPr>
          <w:rFonts w:ascii="Arial" w:cs="Arial" w:eastAsia="Arial" w:hAnsi="Arial"/>
          <w:b/>
          <w:bCs/>
          <w:sz w:val="18"/>
          <w:szCs w:val="18"/>
        </w:rPr>
        <w:t xml:space="preserve">Table 1. Material and utility-medium flows, per 1 t/h of hot carcass.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1100"/>
        <w:gridCol w:w="1300"/>
        <w:gridCol w:w="3638"/>
      </w:tblGrid>
      <w:tr>
        <w:trPr>
          <w:tblHeader/>
        </w:trPr>
        <w:tc>
          <w:tcPr>
            <w:tcW w:type="dxa" w:w="36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left"/>
            </w:pPr>
            <w:r>
              <w:rPr>
                <w:rFonts w:ascii="Arial" w:cs="Arial" w:eastAsia="Arial" w:hAnsi="Arial"/>
                <w:b/>
                <w:bCs/>
                <w:sz w:val="17"/>
                <w:szCs w:val="17"/>
              </w:rPr>
              <w:t xml:space="preserve">Stream</w:t>
            </w:r>
          </w:p>
        </w:tc>
        <w:tc>
          <w:tcPr>
            <w:tcW w:type="dxa" w:w="11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right"/>
            </w:pPr>
            <w:r>
              <w:rPr>
                <w:rFonts w:ascii="Arial" w:cs="Arial" w:eastAsia="Arial" w:hAnsi="Arial"/>
                <w:b/>
                <w:bCs/>
                <w:sz w:val="17"/>
                <w:szCs w:val="17"/>
              </w:rPr>
              <w:t xml:space="preserve">Flow (kg/h)</w:t>
            </w:r>
          </w:p>
        </w:tc>
        <w:tc>
          <w:tcPr>
            <w:tcW w:type="dxa" w:w="13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left"/>
            </w:pPr>
            <w:r>
              <w:rPr>
                <w:rFonts w:ascii="Arial" w:cs="Arial" w:eastAsia="Arial" w:hAnsi="Arial"/>
                <w:b/>
                <w:bCs/>
                <w:sz w:val="17"/>
                <w:szCs w:val="17"/>
              </w:rPr>
              <w:t xml:space="preserve">T (°C)</w:t>
            </w:r>
          </w:p>
        </w:tc>
        <w:tc>
          <w:tcPr>
            <w:tcW w:type="dxa" w:w="3638"/>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left"/>
            </w:pPr>
            <w:r>
              <w:rPr>
                <w:rFonts w:ascii="Arial" w:cs="Arial" w:eastAsia="Arial" w:hAnsi="Arial"/>
                <w:b/>
                <w:bCs/>
                <w:sz w:val="17"/>
                <w:szCs w:val="17"/>
              </w:rPr>
              <w:t xml:space="preserve">Basis</w:t>
            </w:r>
          </w:p>
        </w:tc>
      </w:tr>
      <w:tr>
        <w:tc>
          <w:tcPr>
            <w:tcW w:type="dxa" w:w="9638"/>
            <w:gridSpan w:val="4"/>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keepNext/>
              <w:jc w:val="left"/>
            </w:pPr>
            <w:r>
              <w:rPr>
                <w:rFonts w:ascii="Arial" w:cs="Arial" w:eastAsia="Arial" w:hAnsi="Arial"/>
                <w:b/>
                <w:bCs/>
                <w:sz w:val="17"/>
                <w:szCs w:val="17"/>
              </w:rPr>
              <w:t xml:space="preserve">Raw materials (in)</w:t>
            </w:r>
          </w:p>
        </w:tc>
      </w:tr>
      <w:tr>
        <w:trPr>
          <w:cantSplit/>
        </w:trPr>
        <w:tc>
          <w:tcPr>
            <w:tcW w:type="dxa" w:w="3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Live pigs</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1,282.1</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38</w:t>
            </w:r>
          </w:p>
        </w:tc>
        <w:tc>
          <w:tcPr>
            <w:tcW w:type="dxa" w:w="3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Carcass 90.5 kg per pig, dressing yield 78 %</w:t>
            </w:r>
          </w:p>
        </w:tc>
      </w:tr>
      <w:tr>
        <w:trPr>
          <w:cantSplit/>
        </w:trPr>
        <w:tc>
          <w:tcPr>
            <w:tcW w:type="dxa" w:w="3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Ice and water for the batter</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50.0</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0</w:t>
            </w:r>
          </w:p>
        </w:tc>
        <w:tc>
          <w:tcPr>
            <w:tcW w:type="dxa" w:w="3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5 % of carcass mass</w:t>
            </w:r>
          </w:p>
        </w:tc>
      </w:tr>
      <w:tr>
        <w:trPr>
          <w:cantSplit/>
        </w:trPr>
        <w:tc>
          <w:tcPr>
            <w:tcW w:type="dxa" w:w="3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bCs/>
                <w:sz w:val="17"/>
                <w:szCs w:val="17"/>
              </w:rPr>
              <w:t xml:space="preserve">Total in</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bCs/>
                <w:sz w:val="17"/>
                <w:szCs w:val="17"/>
              </w:rPr>
              <w:t xml:space="preserve">1,332.1</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bCs/>
                <w:sz w:val="17"/>
                <w:szCs w:val="17"/>
              </w:rPr>
              <w:t xml:space="preserve"/>
            </w:r>
          </w:p>
        </w:tc>
        <w:tc>
          <w:tcPr>
            <w:tcW w:type="dxa" w:w="3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bCs/>
                <w:sz w:val="17"/>
                <w:szCs w:val="17"/>
              </w:rPr>
              <w:t xml:space="preserve"/>
            </w:r>
          </w:p>
        </w:tc>
      </w:tr>
      <w:tr>
        <w:tc>
          <w:tcPr>
            <w:tcW w:type="dxa" w:w="9638"/>
            <w:gridSpan w:val="4"/>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keepNext/>
              <w:jc w:val="left"/>
            </w:pPr>
            <w:r>
              <w:rPr>
                <w:rFonts w:ascii="Arial" w:cs="Arial" w:eastAsia="Arial" w:hAnsi="Arial"/>
                <w:b/>
                <w:bCs/>
                <w:sz w:val="17"/>
                <w:szCs w:val="17"/>
              </w:rPr>
              <w:t xml:space="preserve">Products and by-products (out)</w:t>
            </w:r>
          </w:p>
        </w:tc>
      </w:tr>
      <w:tr>
        <w:trPr>
          <w:cantSplit/>
        </w:trPr>
        <w:tc>
          <w:tcPr>
            <w:tcW w:type="dxa" w:w="3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Fresh cuts</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529.9</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2</w:t>
            </w:r>
          </w:p>
        </w:tc>
        <w:tc>
          <w:tcPr>
            <w:tcW w:type="dxa" w:w="3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Boneless meat minus trimmings</w:t>
            </w:r>
          </w:p>
        </w:tc>
      </w:tr>
      <w:tr>
        <w:trPr>
          <w:cantSplit/>
        </w:trPr>
        <w:tc>
          <w:tcPr>
            <w:tcW w:type="dxa" w:w="3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Cooked sausages</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235.0</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2</w:t>
            </w:r>
          </w:p>
        </w:tc>
        <w:tc>
          <w:tcPr>
            <w:tcW w:type="dxa" w:w="3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Batter minus 6 % cooking loss</w:t>
            </w:r>
          </w:p>
        </w:tc>
      </w:tr>
      <w:tr>
        <w:trPr>
          <w:cantSplit/>
        </w:trPr>
        <w:tc>
          <w:tcPr>
            <w:tcW w:type="dxa" w:w="3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Blood</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38.5</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5</w:t>
            </w:r>
          </w:p>
        </w:tc>
        <w:tc>
          <w:tcPr>
            <w:tcW w:type="dxa" w:w="3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3 % of live weight</w:t>
            </w:r>
          </w:p>
        </w:tc>
      </w:tr>
      <w:tr>
        <w:trPr>
          <w:cantSplit/>
        </w:trPr>
        <w:tc>
          <w:tcPr>
            <w:tcW w:type="dxa" w:w="3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Offal, intestines, bristles</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243.6</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38</w:t>
            </w:r>
          </w:p>
        </w:tc>
        <w:tc>
          <w:tcPr>
            <w:tcW w:type="dxa" w:w="3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Live weight minus carcass minus blood</w:t>
            </w:r>
          </w:p>
        </w:tc>
      </w:tr>
      <w:tr>
        <w:trPr>
          <w:cantSplit/>
        </w:trPr>
        <w:tc>
          <w:tcPr>
            <w:tcW w:type="dxa" w:w="3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Bones, fat, rind</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270.1</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4</w:t>
            </w:r>
          </w:p>
        </w:tc>
        <w:tc>
          <w:tcPr>
            <w:tcW w:type="dxa" w:w="3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Carcass minus boneless meat</w:t>
            </w:r>
          </w:p>
        </w:tc>
      </w:tr>
      <w:tr>
        <w:trPr>
          <w:cantSplit/>
        </w:trPr>
        <w:tc>
          <w:tcPr>
            <w:tcW w:type="dxa" w:w="3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Vapour from cooking</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15.0</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up to 100</w:t>
            </w:r>
          </w:p>
        </w:tc>
        <w:tc>
          <w:tcPr>
            <w:tcW w:type="dxa" w:w="3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6 % of batter</w:t>
            </w:r>
          </w:p>
        </w:tc>
      </w:tr>
      <w:tr>
        <w:trPr>
          <w:cantSplit/>
        </w:trPr>
        <w:tc>
          <w:tcPr>
            <w:tcW w:type="dxa" w:w="3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bCs/>
                <w:sz w:val="17"/>
                <w:szCs w:val="17"/>
              </w:rPr>
              <w:t xml:space="preserve">Total out</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bCs/>
                <w:sz w:val="17"/>
                <w:szCs w:val="17"/>
              </w:rPr>
              <w:t xml:space="preserve">1,332.1</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bCs/>
                <w:sz w:val="17"/>
                <w:szCs w:val="17"/>
              </w:rPr>
              <w:t xml:space="preserve"/>
            </w:r>
          </w:p>
        </w:tc>
        <w:tc>
          <w:tcPr>
            <w:tcW w:type="dxa" w:w="3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bCs/>
                <w:sz w:val="17"/>
                <w:szCs w:val="17"/>
              </w:rPr>
              <w:t xml:space="preserve"/>
            </w:r>
          </w:p>
        </w:tc>
      </w:tr>
      <w:tr>
        <w:tc>
          <w:tcPr>
            <w:tcW w:type="dxa" w:w="9638"/>
            <w:gridSpan w:val="4"/>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keepNext/>
              <w:jc w:val="left"/>
            </w:pPr>
            <w:r>
              <w:rPr>
                <w:rFonts w:ascii="Arial" w:cs="Arial" w:eastAsia="Arial" w:hAnsi="Arial"/>
                <w:b/>
                <w:bCs/>
                <w:sz w:val="17"/>
                <w:szCs w:val="17"/>
              </w:rPr>
              <w:t xml:space="preserve">Internal flows</w:t>
            </w:r>
          </w:p>
        </w:tc>
      </w:tr>
      <w:tr>
        <w:trPr>
          <w:cantSplit/>
        </w:trPr>
        <w:tc>
          <w:tcPr>
            <w:tcW w:type="dxa" w:w="3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Hot carcass to chilling</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1,000.0</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38 to 4</w:t>
            </w:r>
          </w:p>
        </w:tc>
        <w:tc>
          <w:tcPr>
            <w:tcW w:type="dxa" w:w="3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Basis</w:t>
            </w:r>
          </w:p>
        </w:tc>
      </w:tr>
      <w:tr>
        <w:trPr>
          <w:cantSplit/>
        </w:trPr>
        <w:tc>
          <w:tcPr>
            <w:tcW w:type="dxa" w:w="3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Boneless meat</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729.9</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4</w:t>
            </w:r>
          </w:p>
        </w:tc>
        <w:tc>
          <w:tcPr>
            <w:tcW w:type="dxa" w:w="3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Carcass / 1.37</w:t>
            </w:r>
          </w:p>
        </w:tc>
      </w:tr>
      <w:tr>
        <w:trPr>
          <w:cantSplit/>
        </w:trPr>
        <w:tc>
          <w:tcPr>
            <w:tcW w:type="dxa" w:w="3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Trimmings to the sausage line</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200.0</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4</w:t>
            </w:r>
          </w:p>
        </w:tc>
        <w:tc>
          <w:tcPr>
            <w:tcW w:type="dxa" w:w="3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20 % of carcass mass</w:t>
            </w:r>
          </w:p>
        </w:tc>
      </w:tr>
      <w:tr>
        <w:trPr>
          <w:cantSplit/>
        </w:trPr>
        <w:tc>
          <w:tcPr>
            <w:tcW w:type="dxa" w:w="3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Sausage batter</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250.0</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4 to 74</w:t>
            </w:r>
          </w:p>
        </w:tc>
        <w:tc>
          <w:tcPr>
            <w:tcW w:type="dxa" w:w="3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Trimmings plus ice and water</w:t>
            </w:r>
          </w:p>
        </w:tc>
      </w:tr>
      <w:tr>
        <w:tc>
          <w:tcPr>
            <w:tcW w:type="dxa" w:w="9638"/>
            <w:gridSpan w:val="4"/>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keepNext/>
              <w:jc w:val="left"/>
            </w:pPr>
            <w:r>
              <w:rPr>
                <w:rFonts w:ascii="Arial" w:cs="Arial" w:eastAsia="Arial" w:hAnsi="Arial"/>
                <w:b/>
                <w:bCs/>
                <w:sz w:val="17"/>
                <w:szCs w:val="17"/>
              </w:rPr>
              <w:t xml:space="preserve">Utility media (mains water at 11 °C, discharged as wastewater)</w:t>
            </w:r>
          </w:p>
        </w:tc>
      </w:tr>
      <w:tr>
        <w:trPr>
          <w:cantSplit/>
        </w:trPr>
        <w:tc>
          <w:tcPr>
            <w:tcW w:type="dxa" w:w="3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Hot water</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497</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82</w:t>
            </w:r>
          </w:p>
        </w:tc>
        <w:tc>
          <w:tcPr>
            <w:tcW w:type="dxa" w:w="3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Knife sterilisers, disinfection</w:t>
            </w:r>
          </w:p>
        </w:tc>
      </w:tr>
      <w:tr>
        <w:trPr>
          <w:cantSplit/>
        </w:trPr>
        <w:tc>
          <w:tcPr>
            <w:tcW w:type="dxa" w:w="3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Warm water</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2,187</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55</w:t>
            </w:r>
          </w:p>
        </w:tc>
        <w:tc>
          <w:tcPr>
            <w:tcW w:type="dxa" w:w="3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Cleaning</w:t>
            </w:r>
          </w:p>
        </w:tc>
      </w:tr>
      <w:tr>
        <w:trPr>
          <w:cantSplit/>
        </w:trPr>
        <w:tc>
          <w:tcPr>
            <w:tcW w:type="dxa" w:w="3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Tap water</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696</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40</w:t>
            </w:r>
          </w:p>
        </w:tc>
        <w:tc>
          <w:tcPr>
            <w:tcW w:type="dxa" w:w="3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Hand washing, personnel</w:t>
            </w:r>
          </w:p>
        </w:tc>
      </w:tr>
    </w:tbl>
    <w:p>
      <w:pPr>
        <w:spacing w:after="160" w:before="60"/>
      </w:pPr>
      <w:r>
        <w:rPr>
          <w:rFonts w:ascii="Arial" w:cs="Arial" w:eastAsia="Arial" w:hAnsi="Arial"/>
          <w:i/>
          <w:iCs/>
          <w:color w:val="404040"/>
          <w:sz w:val="16"/>
          <w:szCs w:val="16"/>
        </w:rPr>
        <w:t xml:space="preserve">Product and raw-material flows close at 1,332.1 kg/h in and out. Water networks are utility media and are not part of this closure.</w:t>
      </w:r>
    </w:p>
    <w:p>
      <w:pPr>
        <w:pStyle w:val="Heading1"/>
        <w:keepNext/>
        <w:spacing w:after="120" w:before="240"/>
      </w:pPr>
      <w:r>
        <w:rPr>
          <w:rFonts w:ascii="Arial" w:cs="Arial" w:eastAsia="Arial" w:hAnsi="Arial"/>
          <w:b/>
          <w:bCs/>
          <w:color w:val="1F3864"/>
          <w:sz w:val="26"/>
          <w:szCs w:val="26"/>
        </w:rPr>
        <w:t xml:space="preserve">4. Process electricity</w:t>
      </w:r>
    </w:p>
    <w:p>
      <w:pPr>
        <w:keepNext/>
        <w:spacing w:after="120" w:before="0" w:line="264"/>
      </w:pPr>
      <w:r>
        <w:rPr>
          <w:rFonts w:ascii="Arial" w:cs="Arial" w:eastAsia="Arial" w:hAnsi="Arial"/>
          <w:sz w:val="20"/>
          <w:szCs w:val="20"/>
        </w:rPr>
        <w:t xml:space="preserve">Table 2 lists only the electricity that the process itself consumes. Heat and refrigeration demands are not included: they are the thermal streams of Table 3, to be met by utilities such as boilers, heat pumps, a refrigeration plant and cooling water.</w:t>
      </w:r>
    </w:p>
    <w:p>
      <w:pPr>
        <w:keepNext/>
        <w:spacing w:after="80" w:before="120"/>
      </w:pPr>
      <w:r>
        <w:rPr>
          <w:rFonts w:ascii="Arial" w:cs="Arial" w:eastAsia="Arial" w:hAnsi="Arial"/>
          <w:b/>
          <w:bCs/>
          <w:sz w:val="18"/>
          <w:szCs w:val="18"/>
        </w:rPr>
        <w:t xml:space="preserve">Table 2. Process electricity demand, per 1 t/h of hot carcass.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200"/>
        <w:gridCol w:w="4738"/>
      </w:tblGrid>
      <w:tr>
        <w:trPr>
          <w:tblHeader/>
        </w:trPr>
        <w:tc>
          <w:tcPr>
            <w:tcW w:type="dxa" w:w="37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left"/>
            </w:pPr>
            <w:r>
              <w:rPr>
                <w:rFonts w:ascii="Arial" w:cs="Arial" w:eastAsia="Arial" w:hAnsi="Arial"/>
                <w:b/>
                <w:bCs/>
                <w:sz w:val="17"/>
                <w:szCs w:val="17"/>
              </w:rPr>
              <w:t xml:space="preserve">Item</w:t>
            </w:r>
          </w:p>
        </w:tc>
        <w:tc>
          <w:tcPr>
            <w:tcW w:type="dxa" w:w="12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right"/>
            </w:pPr>
            <w:r>
              <w:rPr>
                <w:rFonts w:ascii="Arial" w:cs="Arial" w:eastAsia="Arial" w:hAnsi="Arial"/>
                <w:b/>
                <w:bCs/>
                <w:sz w:val="17"/>
                <w:szCs w:val="17"/>
              </w:rPr>
              <w:t xml:space="preserve">kW at 1 t/h</w:t>
            </w:r>
          </w:p>
        </w:tc>
        <w:tc>
          <w:tcPr>
            <w:tcW w:type="dxa" w:w="4738"/>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left"/>
            </w:pPr>
            <w:r>
              <w:rPr>
                <w:rFonts w:ascii="Arial" w:cs="Arial" w:eastAsia="Arial" w:hAnsi="Arial"/>
                <w:b/>
                <w:bCs/>
                <w:sz w:val="17"/>
                <w:szCs w:val="17"/>
              </w:rPr>
              <w:t xml:space="preserve">Basis</w:t>
            </w:r>
          </w:p>
        </w:tc>
      </w:tr>
      <w:tr>
        <w:trPr>
          <w:cantSplit/>
        </w:trPr>
        <w:tc>
          <w:tcPr>
            <w:tcW w:type="dxa" w:w="37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Slaughter line (stunning, dehairing, polishing, conveyors, lighting)</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49</w:t>
            </w:r>
          </w:p>
        </w:tc>
        <w:tc>
          <w:tcPr>
            <w:tcW w:type="dxa" w:w="47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Slaughterhouse electricity (149 kWh/t) minus cooling systems (100 kWh/t)</w:t>
            </w:r>
          </w:p>
        </w:tc>
      </w:tr>
      <w:tr>
        <w:trPr>
          <w:cantSplit/>
        </w:trPr>
        <w:tc>
          <w:tcPr>
            <w:tcW w:type="dxa" w:w="37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Cutting and deboning</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44</w:t>
            </w:r>
          </w:p>
        </w:tc>
        <w:tc>
          <w:tcPr>
            <w:tcW w:type="dxa" w:w="47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60 kWh per t of boneless meat × 0.730 t per t of carcass</w:t>
            </w:r>
          </w:p>
        </w:tc>
      </w:tr>
      <w:tr>
        <w:trPr>
          <w:cantSplit/>
        </w:trPr>
        <w:tc>
          <w:tcPr>
            <w:tcW w:type="dxa" w:w="37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Sausage line (cutting, mixing, filling, packing, lighting)</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99</w:t>
            </w:r>
          </w:p>
        </w:tc>
        <w:tc>
          <w:tcPr>
            <w:tcW w:type="dxa" w:w="47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660 kWh per t of raw material × 60 % non-cooling share × 0.25 t per t of carcass</w:t>
            </w:r>
          </w:p>
        </w:tc>
      </w:tr>
      <w:tr>
        <w:trPr>
          <w:cantSplit/>
        </w:trPr>
        <w:tc>
          <w:tcPr>
            <w:tcW w:type="dxa" w:w="37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bCs/>
                <w:sz w:val="17"/>
                <w:szCs w:val="17"/>
              </w:rPr>
              <w:t xml:space="preserve">Total process electricity</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bCs/>
                <w:sz w:val="17"/>
                <w:szCs w:val="17"/>
              </w:rPr>
              <w:t xml:space="preserve">192</w:t>
            </w:r>
          </w:p>
        </w:tc>
        <w:tc>
          <w:tcPr>
            <w:tcW w:type="dxa" w:w="47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bCs/>
                <w:sz w:val="17"/>
                <w:szCs w:val="17"/>
              </w:rPr>
              <w:t xml:space="preserve"/>
            </w:r>
          </w:p>
        </w:tc>
      </w:tr>
    </w:tbl>
    <w:p>
      <w:pPr>
        <w:spacing w:after="160" w:before="60"/>
      </w:pPr>
      <w:r>
        <w:rPr>
          <w:rFonts w:ascii="Arial" w:cs="Arial" w:eastAsia="Arial" w:hAnsi="Arial"/>
          <w:i/>
          <w:iCs/>
          <w:color w:val="404040"/>
          <w:sz w:val="16"/>
          <w:szCs w:val="16"/>
        </w:rPr>
        <w:t xml:space="preserve">Air compressors (about 18 kWh/t, 5 % of plant electricity) are included in the rows above; their recoverable heat is stream H3. For comparison only: a large Swedish slaughter and meat-processing plant of the reference size used about 490 kWh of electricity and 420 kWh of fuel per tonne of carcass, including refrigeration, boilers and comfort heating (Fritzson and Berntsson, 2006b).</w:t>
      </w:r>
    </w:p>
    <w:p>
      <w:pPr>
        <w:pStyle w:val="Heading1"/>
        <w:keepNext/>
        <w:spacing w:after="120" w:before="240"/>
      </w:pPr>
      <w:r>
        <w:rPr>
          <w:rFonts w:ascii="Arial" w:cs="Arial" w:eastAsia="Arial" w:hAnsi="Arial"/>
          <w:b/>
          <w:bCs/>
          <w:color w:val="1F3864"/>
          <w:sz w:val="26"/>
          <w:szCs w:val="26"/>
        </w:rPr>
        <w:t xml:space="preserve">5. Thermal streams</w:t>
      </w:r>
    </w:p>
    <w:p>
      <w:pPr>
        <w:keepNext/>
        <w:spacing w:after="80" w:before="120"/>
      </w:pPr>
      <w:r>
        <w:rPr>
          <w:rFonts w:ascii="Arial" w:cs="Arial" w:eastAsia="Arial" w:hAnsi="Arial"/>
          <w:b/>
          <w:bCs/>
          <w:sz w:val="18"/>
          <w:szCs w:val="18"/>
        </w:rPr>
        <w:t xml:space="preserve">Table 3. Thermal streams of the integrated pork plant. Q and mCp at 1 t/h of carcass; ΔTmin/2 = 5 K for all streams.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3538"/>
        <w:gridCol w:w="850"/>
        <w:gridCol w:w="850"/>
        <w:gridCol w:w="1250"/>
        <w:gridCol w:w="1300"/>
        <w:gridCol w:w="1250"/>
      </w:tblGrid>
      <w:tr>
        <w:trPr>
          <w:tblHeader/>
        </w:trPr>
        <w:tc>
          <w:tcPr>
            <w:tcW w:type="dxa" w:w="6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left"/>
            </w:pPr>
            <w:r>
              <w:rPr>
                <w:rFonts w:ascii="Arial" w:cs="Arial" w:eastAsia="Arial" w:hAnsi="Arial"/>
                <w:b/>
                <w:bCs/>
                <w:sz w:val="17"/>
                <w:szCs w:val="17"/>
              </w:rPr>
              <w:t xml:space="preserve">ID</w:t>
            </w:r>
          </w:p>
        </w:tc>
        <w:tc>
          <w:tcPr>
            <w:tcW w:type="dxa" w:w="3538"/>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left"/>
            </w:pPr>
            <w:r>
              <w:rPr>
                <w:rFonts w:ascii="Arial" w:cs="Arial" w:eastAsia="Arial" w:hAnsi="Arial"/>
                <w:b/>
                <w:bCs/>
                <w:sz w:val="17"/>
                <w:szCs w:val="17"/>
              </w:rPr>
              <w:t xml:space="preserve">Stream</w:t>
            </w:r>
          </w:p>
        </w:tc>
        <w:tc>
          <w:tcPr>
            <w:tcW w:type="dxa" w:w="85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right"/>
            </w:pPr>
            <w:r>
              <w:rPr>
                <w:rFonts w:ascii="Arial" w:cs="Arial" w:eastAsia="Arial" w:hAnsi="Arial"/>
                <w:b/>
                <w:bCs/>
                <w:sz w:val="17"/>
                <w:szCs w:val="17"/>
              </w:rPr>
              <w:t xml:space="preserve">Tin (°C)</w:t>
            </w:r>
          </w:p>
        </w:tc>
        <w:tc>
          <w:tcPr>
            <w:tcW w:type="dxa" w:w="85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right"/>
            </w:pPr>
            <w:r>
              <w:rPr>
                <w:rFonts w:ascii="Arial" w:cs="Arial" w:eastAsia="Arial" w:hAnsi="Arial"/>
                <w:b/>
                <w:bCs/>
                <w:sz w:val="17"/>
                <w:szCs w:val="17"/>
              </w:rPr>
              <w:t xml:space="preserve">Tout (°C)</w:t>
            </w:r>
          </w:p>
        </w:tc>
        <w:tc>
          <w:tcPr>
            <w:tcW w:type="dxa" w:w="125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right"/>
            </w:pPr>
            <w:r>
              <w:rPr>
                <w:rFonts w:ascii="Arial" w:cs="Arial" w:eastAsia="Arial" w:hAnsi="Arial"/>
                <w:b/>
                <w:bCs/>
                <w:sz w:val="17"/>
                <w:szCs w:val="17"/>
              </w:rPr>
              <w:t xml:space="preserve">Q, 1 t/h (kW)</w:t>
            </w:r>
          </w:p>
        </w:tc>
        <w:tc>
          <w:tcPr>
            <w:tcW w:type="dxa" w:w="13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right"/>
            </w:pPr>
            <w:r>
              <w:rPr>
                <w:rFonts w:ascii="Arial" w:cs="Arial" w:eastAsia="Arial" w:hAnsi="Arial"/>
                <w:b/>
                <w:bCs/>
                <w:sz w:val="17"/>
                <w:szCs w:val="17"/>
              </w:rPr>
              <w:t xml:space="preserve">mCp, 1 t/h (kW/K)</w:t>
            </w:r>
          </w:p>
        </w:tc>
        <w:tc>
          <w:tcPr>
            <w:tcW w:type="dxa" w:w="125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right"/>
            </w:pPr>
            <w:r>
              <w:rPr>
                <w:rFonts w:ascii="Arial" w:cs="Arial" w:eastAsia="Arial" w:hAnsi="Arial"/>
                <w:b/>
                <w:bCs/>
                <w:sz w:val="17"/>
                <w:szCs w:val="17"/>
              </w:rPr>
              <w:t xml:space="preserve">Q, ref. plant (kW)</w:t>
            </w:r>
          </w:p>
        </w:tc>
      </w:tr>
      <w:tr>
        <w:tc>
          <w:tcPr>
            <w:tcW w:type="dxa" w:w="9638"/>
            <w:gridSpan w:val="7"/>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keepNext/>
              <w:jc w:val="left"/>
            </w:pPr>
            <w:r>
              <w:rPr>
                <w:rFonts w:ascii="Arial" w:cs="Arial" w:eastAsia="Arial" w:hAnsi="Arial"/>
                <w:b/>
                <w:bCs/>
                <w:sz w:val="17"/>
                <w:szCs w:val="17"/>
              </w:rPr>
              <w:t xml:space="preserve">Cold streams (to be heated)</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C1</w:t>
            </w:r>
          </w:p>
        </w:tc>
        <w:tc>
          <w:tcPr>
            <w:tcW w:type="dxa" w:w="35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Singeing oven, direct-fired</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900</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1000</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28.00</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0.280</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281.7</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C2</w:t>
            </w:r>
          </w:p>
        </w:tc>
        <w:tc>
          <w:tcPr>
            <w:tcW w:type="dxa" w:w="35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Scalding tank, held at 60 °C</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60</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61</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40.00</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40.000</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402.4</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C3</w:t>
            </w:r>
          </w:p>
        </w:tc>
        <w:tc>
          <w:tcPr>
            <w:tcW w:type="dxa" w:w="35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Hot water 82 °C (sterilisers, disinfection)</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11</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82</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40.98</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0.577</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412.2</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C4</w:t>
            </w:r>
          </w:p>
        </w:tc>
        <w:tc>
          <w:tcPr>
            <w:tcW w:type="dxa" w:w="35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Warm water 55 °C (cleaning)</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11</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55</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111.73</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2.539</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1,124.0</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C5</w:t>
            </w:r>
          </w:p>
        </w:tc>
        <w:tc>
          <w:tcPr>
            <w:tcW w:type="dxa" w:w="35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Tap water 40 °C (hand washing, personnel)</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11</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40</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23.43</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0.808</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235.7</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C6</w:t>
            </w:r>
          </w:p>
        </w:tc>
        <w:tc>
          <w:tcPr>
            <w:tcW w:type="dxa" w:w="35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Sausage cooking, direct steam injection</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112</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113</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63.86</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63.857</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642.4</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bCs/>
                <w:sz w:val="17"/>
                <w:szCs w:val="17"/>
              </w:rPr>
              <w:t xml:space="preserve"/>
            </w:r>
          </w:p>
        </w:tc>
        <w:tc>
          <w:tcPr>
            <w:tcW w:type="dxa" w:w="35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bCs/>
                <w:sz w:val="17"/>
                <w:szCs w:val="17"/>
              </w:rPr>
              <w:t xml:space="preserve">Total cold streams</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bCs/>
                <w:sz w:val="17"/>
                <w:szCs w:val="17"/>
              </w:rPr>
              <w:t xml:space="preserve"/>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bCs/>
                <w:sz w:val="17"/>
                <w:szCs w:val="17"/>
              </w:rPr>
              <w:t xml:space="preserve"/>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bCs/>
                <w:sz w:val="17"/>
                <w:szCs w:val="17"/>
              </w:rPr>
              <w:t xml:space="preserve">308.0</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bCs/>
                <w:sz w:val="17"/>
                <w:szCs w:val="17"/>
              </w:rPr>
              <w:t xml:space="preserve"/>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bCs/>
                <w:sz w:val="17"/>
                <w:szCs w:val="17"/>
              </w:rPr>
              <w:t xml:space="preserve">3,098.3</w:t>
            </w:r>
          </w:p>
        </w:tc>
      </w:tr>
      <w:tr>
        <w:tc>
          <w:tcPr>
            <w:tcW w:type="dxa" w:w="9638"/>
            <w:gridSpan w:val="7"/>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keepNext/>
              <w:jc w:val="left"/>
            </w:pPr>
            <w:r>
              <w:rPr>
                <w:rFonts w:ascii="Arial" w:cs="Arial" w:eastAsia="Arial" w:hAnsi="Arial"/>
                <w:b/>
                <w:bCs/>
                <w:sz w:val="17"/>
                <w:szCs w:val="17"/>
              </w:rPr>
              <w:t xml:space="preserve">Hot streams (to be cooled)</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H1</w:t>
            </w:r>
          </w:p>
        </w:tc>
        <w:tc>
          <w:tcPr>
            <w:tcW w:type="dxa" w:w="35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Cooking-oven exhaust air</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70</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35</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20.21</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0.577</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203.3</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H2</w:t>
            </w:r>
          </w:p>
        </w:tc>
        <w:tc>
          <w:tcPr>
            <w:tcW w:type="dxa" w:w="35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Sausage shower cooling</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74</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45</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5.68</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0.196</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57.1</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H3</w:t>
            </w:r>
          </w:p>
        </w:tc>
        <w:tc>
          <w:tcPr>
            <w:tcW w:type="dxa" w:w="35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Air compressors, heat recovery</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70</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25</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17.89</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0.398</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180.0</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H4</w:t>
            </w:r>
          </w:p>
        </w:tc>
        <w:tc>
          <w:tcPr>
            <w:tcW w:type="dxa" w:w="35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Blood chilling</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38</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1.27</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0.038</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12.8</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H5</w:t>
            </w:r>
          </w:p>
        </w:tc>
        <w:tc>
          <w:tcPr>
            <w:tcW w:type="dxa" w:w="35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Carcass chilling</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38</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4</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42.50</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1.250</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427.5</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H6</w:t>
            </w:r>
          </w:p>
        </w:tc>
        <w:tc>
          <w:tcPr>
            <w:tcW w:type="dxa" w:w="35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Sausage chilling</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45</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8.42</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0.196</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84.7</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H7</w:t>
            </w:r>
          </w:p>
        </w:tc>
        <w:tc>
          <w:tcPr>
            <w:tcW w:type="dxa" w:w="35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Chilled rooms (cutting, storage), air at 2 °C</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3</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150.23</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150.231</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1,511.3</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H8</w:t>
            </w:r>
          </w:p>
        </w:tc>
        <w:tc>
          <w:tcPr>
            <w:tcW w:type="dxa" w:w="35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Freezer rooms, air at −25 °C</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−24</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−25</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6.00</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6.000</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60.4</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bCs/>
                <w:sz w:val="17"/>
                <w:szCs w:val="17"/>
              </w:rPr>
              <w:t xml:space="preserve"/>
            </w:r>
          </w:p>
        </w:tc>
        <w:tc>
          <w:tcPr>
            <w:tcW w:type="dxa" w:w="35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bCs/>
                <w:sz w:val="17"/>
                <w:szCs w:val="17"/>
              </w:rPr>
              <w:t xml:space="preserve">Total hot streams</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bCs/>
                <w:sz w:val="17"/>
                <w:szCs w:val="17"/>
              </w:rPr>
              <w:t xml:space="preserve"/>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bCs/>
                <w:sz w:val="17"/>
                <w:szCs w:val="17"/>
              </w:rPr>
              <w:t xml:space="preserve"/>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bCs/>
                <w:sz w:val="17"/>
                <w:szCs w:val="17"/>
              </w:rPr>
              <w:t xml:space="preserve">252.2</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bCs/>
                <w:sz w:val="17"/>
                <w:szCs w:val="17"/>
              </w:rPr>
              <w:t xml:space="preserve"/>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bCs/>
                <w:sz w:val="17"/>
                <w:szCs w:val="17"/>
              </w:rPr>
              <w:t xml:space="preserve">2,537.0</w:t>
            </w:r>
          </w:p>
        </w:tc>
      </w:tr>
    </w:tbl>
    <w:p>
      <w:pPr>
        <w:spacing w:after="160" w:before="60"/>
      </w:pPr>
      <w:r>
        <w:rPr>
          <w:rFonts w:ascii="Arial" w:cs="Arial" w:eastAsia="Arial" w:hAnsi="Arial"/>
          <w:i/>
          <w:iCs/>
          <w:color w:val="404040"/>
          <w:sz w:val="16"/>
          <w:szCs w:val="16"/>
        </w:rPr>
        <w:t xml:space="preserve">mCp = Q / |Tout − Tin|. Streams with a 1 K span are near-isothermal duties: the scalding tank, steam injection for cooking, and room air held at a set temperature. H4 to H8 are refrigeration demands at product or room-air temperature.</w:t>
      </w:r>
    </w:p>
    <w:p>
      <w:pPr>
        <w:pStyle w:val="Heading1"/>
        <w:keepNext/>
        <w:spacing w:after="120" w:before="240"/>
      </w:pPr>
      <w:r>
        <w:rPr>
          <w:rFonts w:ascii="Arial" w:cs="Arial" w:eastAsia="Arial" w:hAnsi="Arial"/>
          <w:b/>
          <w:bCs/>
          <w:color w:val="1F3864"/>
          <w:sz w:val="26"/>
          <w:szCs w:val="26"/>
        </w:rPr>
        <w:t xml:space="preserve">6. Energy targets</w:t>
      </w:r>
    </w:p>
    <w:p>
      <w:pPr>
        <w:keepNext/>
        <w:spacing w:after="120" w:before="0" w:line="264"/>
      </w:pPr>
      <w:r>
        <w:rPr>
          <w:rFonts w:ascii="Arial" w:cs="Arial" w:eastAsia="Arial" w:hAnsi="Arial"/>
          <w:sz w:val="20"/>
          <w:szCs w:val="20"/>
        </w:rPr>
        <w:t xml:space="preserve">The problem-table analysis of the 14 streams of Table 3, with ΔTmin = 10 K, gives the minimum energy targets of Table 4.</w:t>
      </w:r>
    </w:p>
    <w:p>
      <w:pPr>
        <w:keepNext/>
        <w:spacing w:after="80" w:before="120"/>
      </w:pPr>
      <w:r>
        <w:rPr>
          <w:rFonts w:ascii="Arial" w:cs="Arial" w:eastAsia="Arial" w:hAnsi="Arial"/>
          <w:b/>
          <w:bCs/>
          <w:sz w:val="18"/>
          <w:szCs w:val="18"/>
        </w:rPr>
        <w:t xml:space="preserve">Table 4. Minimum energy targets, ΔTmin = 10 K.</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38"/>
        <w:gridCol w:w="2000"/>
        <w:gridCol w:w="2000"/>
        <w:gridCol w:w="2000"/>
      </w:tblGrid>
      <w:tr>
        <w:trPr>
          <w:tblHeader/>
        </w:trPr>
        <w:tc>
          <w:tcPr>
            <w:tcW w:type="dxa" w:w="3638"/>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left"/>
            </w:pPr>
            <w:r>
              <w:rPr>
                <w:rFonts w:ascii="Arial" w:cs="Arial" w:eastAsia="Arial" w:hAnsi="Arial"/>
                <w:b/>
                <w:bCs/>
                <w:sz w:val="17"/>
                <w:szCs w:val="17"/>
              </w:rPr>
              <w:t xml:space="preserve">Quantity</w:t>
            </w:r>
          </w:p>
        </w:tc>
        <w:tc>
          <w:tcPr>
            <w:tcW w:type="dxa" w:w="20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right"/>
            </w:pPr>
            <w:r>
              <w:rPr>
                <w:rFonts w:ascii="Arial" w:cs="Arial" w:eastAsia="Arial" w:hAnsi="Arial"/>
                <w:b/>
                <w:bCs/>
                <w:sz w:val="17"/>
                <w:szCs w:val="17"/>
              </w:rPr>
              <w:t xml:space="preserve">1 t/h (kW)</w:t>
            </w:r>
          </w:p>
        </w:tc>
        <w:tc>
          <w:tcPr>
            <w:tcW w:type="dxa" w:w="20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right"/>
            </w:pPr>
            <w:r>
              <w:rPr>
                <w:rFonts w:ascii="Arial" w:cs="Arial" w:eastAsia="Arial" w:hAnsi="Arial"/>
                <w:b/>
                <w:bCs/>
                <w:sz w:val="17"/>
                <w:szCs w:val="17"/>
              </w:rPr>
              <w:t xml:space="preserve">Ref. plant (kW)</w:t>
            </w:r>
          </w:p>
        </w:tc>
        <w:tc>
          <w:tcPr>
            <w:tcW w:type="dxa" w:w="20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right"/>
            </w:pPr>
            <w:r>
              <w:rPr>
                <w:rFonts w:ascii="Arial" w:cs="Arial" w:eastAsia="Arial" w:hAnsi="Arial"/>
                <w:b/>
                <w:bCs/>
                <w:sz w:val="17"/>
                <w:szCs w:val="17"/>
              </w:rPr>
              <w:t xml:space="preserve">Ref. plant (MWh/y)</w:t>
            </w:r>
          </w:p>
        </w:tc>
      </w:tr>
      <w:tr>
        <w:trPr>
          <w:cantSplit/>
        </w:trPr>
        <w:tc>
          <w:tcPr>
            <w:tcW w:type="dxa" w:w="3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Total heating demand (cold streams)</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308.0</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3,098.3</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19,519</w:t>
            </w:r>
          </w:p>
        </w:tc>
      </w:tr>
      <w:tr>
        <w:trPr>
          <w:cantSplit/>
        </w:trPr>
        <w:tc>
          <w:tcPr>
            <w:tcW w:type="dxa" w:w="3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Total cooling demand (hot streams)</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252.2</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2,537.0</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15,983</w:t>
            </w:r>
          </w:p>
        </w:tc>
      </w:tr>
      <w:tr>
        <w:trPr>
          <w:cantSplit/>
        </w:trPr>
        <w:tc>
          <w:tcPr>
            <w:tcW w:type="dxa" w:w="3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Minimum hot utility</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237.6</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2,390.3</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15,059</w:t>
            </w:r>
          </w:p>
        </w:tc>
      </w:tr>
      <w:tr>
        <w:trPr>
          <w:cantSplit/>
        </w:trPr>
        <w:tc>
          <w:tcPr>
            <w:tcW w:type="dxa" w:w="3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    of which above 900 °C (singeing)</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28.0</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281.7</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1,775</w:t>
            </w:r>
          </w:p>
        </w:tc>
      </w:tr>
      <w:tr>
        <w:trPr>
          <w:cantSplit/>
        </w:trPr>
        <w:tc>
          <w:tcPr>
            <w:tcW w:type="dxa" w:w="3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Minimum cold utility</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181.8</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1,829.0</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11,523</w:t>
            </w:r>
          </w:p>
        </w:tc>
      </w:tr>
      <w:tr>
        <w:trPr>
          <w:cantSplit/>
        </w:trPr>
        <w:tc>
          <w:tcPr>
            <w:tcW w:type="dxa" w:w="3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    of which at the freezer level (−25 °C)</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6.0</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60.4</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380</w:t>
            </w:r>
          </w:p>
        </w:tc>
      </w:tr>
      <w:tr>
        <w:trPr>
          <w:cantSplit/>
        </w:trPr>
        <w:tc>
          <w:tcPr>
            <w:tcW w:type="dxa" w:w="3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Maximum heat recovery</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70.4</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708.0</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4,461</w:t>
            </w:r>
          </w:p>
        </w:tc>
      </w:tr>
      <w:tr>
        <w:trPr>
          <w:cantSplit/>
        </w:trPr>
        <w:tc>
          <w:tcPr>
            <w:tcW w:type="dxa" w:w="3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Pinch temperature (shifted)</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16 °C</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16 °C</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
            </w:r>
          </w:p>
        </w:tc>
      </w:tr>
    </w:tbl>
    <w:p>
      <w:pPr>
        <w:spacing w:after="160" w:before="60"/>
      </w:pPr>
      <w:r>
        <w:rPr>
          <w:rFonts w:ascii="Arial" w:cs="Arial" w:eastAsia="Arial" w:hAnsi="Arial"/>
          <w:i/>
          <w:iCs/>
          <w:color w:val="404040"/>
          <w:sz w:val="16"/>
          <w:szCs w:val="16"/>
        </w:rPr>
        <w:t xml:space="preserve">Reference-plant annual energy = kW at the reference plant × 6,300 h. The pinch at 16 °C shifted corresponds to 21 °C on hot streams and 11 °C on cold streams. Because the water networks start from mains water at 11 °C, they absorb the warm heat sources, and all of the minimum cold utility lies below ambient: it must be supplied by refrigeration.</w:t>
      </w:r>
    </w:p>
    <w:p>
      <w:pPr>
        <w:pStyle w:val="Heading1"/>
        <w:keepNext/>
        <w:spacing w:after="120" w:before="240"/>
      </w:pPr>
      <w:r>
        <w:rPr>
          <w:rFonts w:ascii="Arial" w:cs="Arial" w:eastAsia="Arial" w:hAnsi="Arial"/>
          <w:b/>
          <w:bCs/>
          <w:color w:val="1F3864"/>
          <w:sz w:val="26"/>
          <w:szCs w:val="26"/>
        </w:rPr>
        <w:t xml:space="preserve">7. Data basis</w:t>
      </w:r>
    </w:p>
    <w:p>
      <w:pPr>
        <w:keepNext/>
        <w:spacing w:after="80" w:before="120"/>
      </w:pPr>
      <w:r>
        <w:rPr>
          <w:rFonts w:ascii="Arial" w:cs="Arial" w:eastAsia="Arial" w:hAnsi="Arial"/>
          <w:b/>
          <w:bCs/>
          <w:sz w:val="18"/>
          <w:szCs w:val="18"/>
        </w:rPr>
        <w:t xml:space="preserve">Table 5. Origin of the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6238"/>
      </w:tblGrid>
      <w:tr>
        <w:trPr>
          <w:tblHeader/>
        </w:trPr>
        <w:tc>
          <w:tcPr>
            <w:tcW w:type="dxa" w:w="34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left"/>
            </w:pPr>
            <w:r>
              <w:rPr>
                <w:rFonts w:ascii="Arial" w:cs="Arial" w:eastAsia="Arial" w:hAnsi="Arial"/>
                <w:b/>
                <w:bCs/>
                <w:sz w:val="17"/>
                <w:szCs w:val="17"/>
              </w:rPr>
              <w:t xml:space="preserve">Data</w:t>
            </w:r>
          </w:p>
        </w:tc>
        <w:tc>
          <w:tcPr>
            <w:tcW w:type="dxa" w:w="6238"/>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left"/>
            </w:pPr>
            <w:r>
              <w:rPr>
                <w:rFonts w:ascii="Arial" w:cs="Arial" w:eastAsia="Arial" w:hAnsi="Arial"/>
                <w:b/>
                <w:bCs/>
                <w:sz w:val="17"/>
                <w:szCs w:val="17"/>
              </w:rPr>
              <w:t xml:space="preserve">Source</w:t>
            </w:r>
          </w:p>
        </w:tc>
      </w:tr>
      <w:tr>
        <w:trPr>
          <w:cantSplit/>
        </w:trPr>
        <w:tc>
          <w:tcPr>
            <w:tcW w:type="dxa" w:w="34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Process steps and temperatures</w:t>
            </w:r>
          </w:p>
        </w:tc>
        <w:tc>
          <w:tcPr>
            <w:tcW w:type="dxa" w:w="6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Karlis et al. (2024): scalding 58 to 65 °C, singeing 900 to 1,000 °C, blood chilled to about 5 °C; COWI (2000): sterilisers at 82 °C; Meier (2007): steam injection at 113 °C, core 74 °C, shower to about 45 °C, chilling to 2 °C</w:t>
            </w:r>
          </w:p>
        </w:tc>
      </w:tr>
      <w:tr>
        <w:trPr>
          <w:cantSplit/>
        </w:trPr>
        <w:tc>
          <w:tcPr>
            <w:tcW w:type="dxa" w:w="34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Average carcass 90.5 kg per pig</w:t>
            </w:r>
          </w:p>
        </w:tc>
        <w:tc>
          <w:tcPr>
            <w:tcW w:type="dxa" w:w="6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Proviande (2025): 214,208 t of pig carcasses from 2,365,996 pigs</w:t>
            </w:r>
          </w:p>
        </w:tc>
      </w:tr>
      <w:tr>
        <w:trPr>
          <w:cantSplit/>
        </w:trPr>
        <w:tc>
          <w:tcPr>
            <w:tcW w:type="dxa" w:w="34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Dressing yield 78 %</w:t>
            </w:r>
          </w:p>
        </w:tc>
        <w:tc>
          <w:tcPr>
            <w:tcW w:type="dxa" w:w="6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Assumed general value (carcass / live weight)</w:t>
            </w:r>
          </w:p>
        </w:tc>
      </w:tr>
      <w:tr>
        <w:trPr>
          <w:cantSplit/>
        </w:trPr>
        <w:tc>
          <w:tcPr>
            <w:tcW w:type="dxa" w:w="34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Blood 3 % of live weight</w:t>
            </w:r>
          </w:p>
        </w:tc>
        <w:tc>
          <w:tcPr>
            <w:tcW w:type="dxa" w:w="6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COWI (2000), Table 2-2</w:t>
            </w:r>
          </w:p>
        </w:tc>
      </w:tr>
      <w:tr>
        <w:trPr>
          <w:cantSplit/>
        </w:trPr>
        <w:tc>
          <w:tcPr>
            <w:tcW w:type="dxa" w:w="34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Boneless meat = carcass / 1.37</w:t>
            </w:r>
          </w:p>
        </w:tc>
        <w:tc>
          <w:tcPr>
            <w:tcW w:type="dxa" w:w="6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Ramírez et al. (2006)</w:t>
            </w:r>
          </w:p>
        </w:tc>
      </w:tr>
      <w:tr>
        <w:trPr>
          <w:cantSplit/>
        </w:trPr>
        <w:tc>
          <w:tcPr>
            <w:tcW w:type="dxa" w:w="34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Trimmings 20 % and ice 5 % of carcass; cp of sausages 3.0 and of blood 3.6 kJ/(kg K)</w:t>
            </w:r>
          </w:p>
        </w:tc>
        <w:tc>
          <w:tcPr>
            <w:tcW w:type="dxa" w:w="6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Assumed values</w:t>
            </w:r>
          </w:p>
        </w:tc>
      </w:tr>
      <w:tr>
        <w:trPr>
          <w:cantSplit/>
        </w:trPr>
        <w:tc>
          <w:tcPr>
            <w:tcW w:type="dxa" w:w="34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Cooking loss 6 %; cooking heat 255 kWh/t of batter; oven exhaust 70 to 35 °C, 81 kWh/t</w:t>
            </w:r>
          </w:p>
        </w:tc>
        <w:tc>
          <w:tcPr>
            <w:tcW w:type="dxa" w:w="6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Meier (2007), Bell AG Basel pinch study</w:t>
            </w:r>
          </w:p>
        </w:tc>
      </w:tr>
      <w:tr>
        <w:trPr>
          <w:cantSplit/>
        </w:trPr>
        <w:tc>
          <w:tcPr>
            <w:tcW w:type="dxa" w:w="34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Water networks: mains at 11 °C; 82, 55 and 40 °C at 5, 22 and 7 m³/h</w:t>
            </w:r>
          </w:p>
        </w:tc>
        <w:tc>
          <w:tcPr>
            <w:tcW w:type="dxa" w:w="6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Fritzson and Berntsson (2006a), Fig. 2, scaled from the reference plant to 1 t/h</w:t>
            </w:r>
          </w:p>
        </w:tc>
      </w:tr>
      <w:tr>
        <w:trPr>
          <w:cantSplit/>
        </w:trPr>
        <w:tc>
          <w:tcPr>
            <w:tcW w:type="dxa" w:w="34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Reference plant: 700,000 pigs/y, 6,300 h/y</w:t>
            </w:r>
          </w:p>
        </w:tc>
        <w:tc>
          <w:tcPr>
            <w:tcW w:type="dxa" w:w="6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Fritzson and Berntsson (2006b), Table 1</w:t>
            </w:r>
          </w:p>
        </w:tc>
      </w:tr>
      <w:tr>
        <w:trPr>
          <w:cantSplit/>
        </w:trPr>
        <w:tc>
          <w:tcPr>
            <w:tcW w:type="dxa" w:w="34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Scalding 40 kWh/t; singeing 28 kWh/t; cooling-system electricity 100 kWh/t</w:t>
            </w:r>
          </w:p>
        </w:tc>
        <w:tc>
          <w:tcPr>
            <w:tcW w:type="dxa" w:w="6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Karlis et al. (2024), Figs 3.39, 3.38 and 3.36: medians of reported pig slaughterhouses, read from the figures</w:t>
            </w:r>
          </w:p>
        </w:tc>
      </w:tr>
      <w:tr>
        <w:trPr>
          <w:cantSplit/>
        </w:trPr>
        <w:tc>
          <w:tcPr>
            <w:tcW w:type="dxa" w:w="34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Cold demand 200 kWh/t (H4, H5, H7, H8)</w:t>
            </w:r>
          </w:p>
        </w:tc>
        <w:tc>
          <w:tcPr>
            <w:tcW w:type="dxa" w:w="6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Cooling-system electricity × seasonal cooling COP 2.0 (Meier, 2007); carcass chilling 153 kJ/kg (Grimsby Institute); freezer share 3 % (Meier, 2007); chilled rooms take the remainder</w:t>
            </w:r>
          </w:p>
        </w:tc>
      </w:tr>
      <w:tr>
        <w:trPr>
          <w:cantSplit/>
        </w:trPr>
        <w:tc>
          <w:tcPr>
            <w:tcW w:type="dxa" w:w="34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Process electricity</w:t>
            </w:r>
          </w:p>
        </w:tc>
        <w:tc>
          <w:tcPr>
            <w:tcW w:type="dxa" w:w="6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Nunes et al. (2016): 149 kWh/t for slaughterhouses, 660 kWh/t of raw material for sausage plants; Ramírez et al. (2006): cutting 60 kWh/t, non-cooling share 60 %; COWI (2000), Table 2-12: compressed air 5 %</w:t>
            </w:r>
          </w:p>
        </w:tc>
      </w:tr>
    </w:tbl>
    <w:p>
      <w:pPr>
        <w:pStyle w:val="Heading1"/>
        <w:keepNext/>
        <w:spacing w:after="120" w:before="240"/>
      </w:pPr>
      <w:r>
        <w:rPr>
          <w:rFonts w:ascii="Arial" w:cs="Arial" w:eastAsia="Arial" w:hAnsi="Arial"/>
          <w:b/>
          <w:bCs/>
          <w:color w:val="1F3864"/>
          <w:sz w:val="26"/>
          <w:szCs w:val="26"/>
        </w:rPr>
        <w:t xml:space="preserve">References</w:t>
      </w:r>
    </w:p>
    <w:p>
      <w:pPr>
        <w:pStyle w:val="ListParagraph"/>
        <w:numPr>
          <w:ilvl w:val="0"/>
          <w:numId w:val="4"/>
        </w:numPr>
        <w:spacing w:after="60"/>
      </w:pPr>
      <w:r>
        <w:rPr>
          <w:rFonts w:ascii="Arial" w:cs="Arial" w:eastAsia="Arial" w:hAnsi="Arial"/>
          <w:sz w:val="17"/>
          <w:szCs w:val="17"/>
        </w:rPr>
        <w:t xml:space="preserve">COWI Consulting Engineers and Planners (2000). </w:t>
      </w:r>
      <w:r>
        <w:rPr>
          <w:rFonts w:ascii="Arial" w:cs="Arial" w:eastAsia="Arial" w:hAnsi="Arial"/>
          <w:i/>
          <w:iCs/>
          <w:sz w:val="17"/>
          <w:szCs w:val="17"/>
        </w:rPr>
        <w:t xml:space="preserve">Cleaner Production Assessment in Meat Processing</w:t>
      </w:r>
      <w:r>
        <w:rPr>
          <w:rFonts w:ascii="Arial" w:cs="Arial" w:eastAsia="Arial" w:hAnsi="Arial"/>
          <w:sz w:val="17"/>
          <w:szCs w:val="17"/>
        </w:rPr>
        <w:t xml:space="preserve">. Prepared for the United Nations Environment Programme, Division of Technology, Industry and Economics. </w:t>
      </w:r>
      <w:r>
        <w:rPr>
          <w:rFonts w:ascii="Arial" w:cs="Arial" w:eastAsia="Arial" w:hAnsi="Arial"/>
          <w:sz w:val="17"/>
          <w:szCs w:val="17"/>
        </w:rPr>
        <w:t xml:space="preserve">https://wedocs.unep.org/handle/20.500.11822/9571</w:t>
      </w:r>
    </w:p>
    <w:p>
      <w:pPr>
        <w:pStyle w:val="ListParagraph"/>
        <w:numPr>
          <w:ilvl w:val="0"/>
          <w:numId w:val="4"/>
        </w:numPr>
        <w:spacing w:after="60"/>
      </w:pPr>
      <w:r>
        <w:rPr>
          <w:rFonts w:ascii="Arial" w:cs="Arial" w:eastAsia="Arial" w:hAnsi="Arial"/>
          <w:sz w:val="17"/>
          <w:szCs w:val="17"/>
        </w:rPr>
        <w:t xml:space="preserve">Fritzson A., Berntsson T. (2006a). Efficient energy use in a slaughter and meat processing plant: opportunities for process integration. </w:t>
      </w:r>
      <w:r>
        <w:rPr>
          <w:rFonts w:ascii="Arial" w:cs="Arial" w:eastAsia="Arial" w:hAnsi="Arial"/>
          <w:i/>
          <w:iCs/>
          <w:sz w:val="17"/>
          <w:szCs w:val="17"/>
        </w:rPr>
        <w:t xml:space="preserve">Journal of Food Engineering</w:t>
      </w:r>
      <w:r>
        <w:rPr>
          <w:rFonts w:ascii="Arial" w:cs="Arial" w:eastAsia="Arial" w:hAnsi="Arial"/>
          <w:sz w:val="17"/>
          <w:szCs w:val="17"/>
        </w:rPr>
        <w:t xml:space="preserve"> 76, 594–604. </w:t>
      </w:r>
      <w:r>
        <w:rPr>
          <w:rFonts w:ascii="Arial" w:cs="Arial" w:eastAsia="Arial" w:hAnsi="Arial"/>
          <w:sz w:val="17"/>
          <w:szCs w:val="17"/>
        </w:rPr>
        <w:t xml:space="preserve">https://doi.org/10.1016/j.jfoodeng.2005.06.007</w:t>
      </w:r>
    </w:p>
    <w:p>
      <w:pPr>
        <w:pStyle w:val="ListParagraph"/>
        <w:numPr>
          <w:ilvl w:val="0"/>
          <w:numId w:val="4"/>
        </w:numPr>
        <w:spacing w:after="60"/>
      </w:pPr>
      <w:r>
        <w:rPr>
          <w:rFonts w:ascii="Arial" w:cs="Arial" w:eastAsia="Arial" w:hAnsi="Arial"/>
          <w:sz w:val="17"/>
          <w:szCs w:val="17"/>
        </w:rPr>
        <w:t xml:space="preserve">Fritzson A., Berntsson T. (2006b). Energy efficiency in the slaughter and meat processing industry: opportunities for improvements in future energy markets. </w:t>
      </w:r>
      <w:r>
        <w:rPr>
          <w:rFonts w:ascii="Arial" w:cs="Arial" w:eastAsia="Arial" w:hAnsi="Arial"/>
          <w:i/>
          <w:iCs/>
          <w:sz w:val="17"/>
          <w:szCs w:val="17"/>
        </w:rPr>
        <w:t xml:space="preserve">Journal of Food Engineering</w:t>
      </w:r>
      <w:r>
        <w:rPr>
          <w:rFonts w:ascii="Arial" w:cs="Arial" w:eastAsia="Arial" w:hAnsi="Arial"/>
          <w:sz w:val="17"/>
          <w:szCs w:val="17"/>
        </w:rPr>
        <w:t xml:space="preserve"> 77, 792–802. </w:t>
      </w:r>
      <w:r>
        <w:rPr>
          <w:rFonts w:ascii="Arial" w:cs="Arial" w:eastAsia="Arial" w:hAnsi="Arial"/>
          <w:sz w:val="17"/>
          <w:szCs w:val="17"/>
        </w:rPr>
        <w:t xml:space="preserve">https://doi.org/10.1016/j.jfoodeng.2005.08.005</w:t>
      </w:r>
    </w:p>
    <w:p>
      <w:pPr>
        <w:pStyle w:val="ListParagraph"/>
        <w:numPr>
          <w:ilvl w:val="0"/>
          <w:numId w:val="4"/>
        </w:numPr>
        <w:spacing w:after="60"/>
      </w:pPr>
      <w:r>
        <w:rPr>
          <w:rFonts w:ascii="Arial" w:cs="Arial" w:eastAsia="Arial" w:hAnsi="Arial"/>
          <w:sz w:val="17"/>
          <w:szCs w:val="17"/>
        </w:rPr>
        <w:t xml:space="preserve">Grimsby Institute (n.d.). </w:t>
      </w:r>
      <w:r>
        <w:rPr>
          <w:rFonts w:ascii="Arial" w:cs="Arial" w:eastAsia="Arial" w:hAnsi="Arial"/>
          <w:i/>
          <w:iCs/>
          <w:sz w:val="17"/>
          <w:szCs w:val="17"/>
        </w:rPr>
        <w:t xml:space="preserve">Sector focus: carcass chilling</w:t>
      </w:r>
      <w:r>
        <w:rPr>
          <w:rFonts w:ascii="Arial" w:cs="Arial" w:eastAsia="Arial" w:hAnsi="Arial"/>
          <w:sz w:val="17"/>
          <w:szCs w:val="17"/>
        </w:rPr>
        <w:t xml:space="preserve">. Project on reducing the energy inputs into the refrigeration of food. </w:t>
      </w:r>
      <w:r>
        <w:rPr>
          <w:rFonts w:ascii="Arial" w:cs="Arial" w:eastAsia="Arial" w:hAnsi="Arial"/>
          <w:sz w:val="17"/>
          <w:szCs w:val="17"/>
        </w:rPr>
        <w:t xml:space="preserve">https://www.grimsby.ac.uk/documents/defra/sectrep-meatchill.pdf</w:t>
      </w:r>
    </w:p>
    <w:p>
      <w:pPr>
        <w:pStyle w:val="ListParagraph"/>
        <w:numPr>
          <w:ilvl w:val="0"/>
          <w:numId w:val="4"/>
        </w:numPr>
        <w:spacing w:after="60"/>
      </w:pPr>
      <w:r>
        <w:rPr>
          <w:rFonts w:ascii="Arial" w:cs="Arial" w:eastAsia="Arial" w:hAnsi="Arial"/>
          <w:sz w:val="17"/>
          <w:szCs w:val="17"/>
        </w:rPr>
        <w:t xml:space="preserve">Karlis P., Presicce F., Giner-Santonja G., Brinkmann T., Roudier S. (2024). </w:t>
      </w:r>
      <w:r>
        <w:rPr>
          <w:rFonts w:ascii="Arial" w:cs="Arial" w:eastAsia="Arial" w:hAnsi="Arial"/>
          <w:i/>
          <w:iCs/>
          <w:sz w:val="17"/>
          <w:szCs w:val="17"/>
        </w:rPr>
        <w:t xml:space="preserve">Best Available Techniques (BAT) Reference Document for the Slaughterhouses, Animal By-products and/or Edible Co-products Industries</w:t>
      </w:r>
      <w:r>
        <w:rPr>
          <w:rFonts w:ascii="Arial" w:cs="Arial" w:eastAsia="Arial" w:hAnsi="Arial"/>
          <w:sz w:val="17"/>
          <w:szCs w:val="17"/>
        </w:rPr>
        <w:t xml:space="preserve">. JRC, EUR 31752 EN. </w:t>
      </w:r>
      <w:r>
        <w:rPr>
          <w:rFonts w:ascii="Arial" w:cs="Arial" w:eastAsia="Arial" w:hAnsi="Arial"/>
          <w:sz w:val="17"/>
          <w:szCs w:val="17"/>
        </w:rPr>
        <w:t xml:space="preserve">https://doi.org/10.2760/18199</w:t>
      </w:r>
    </w:p>
    <w:p>
      <w:pPr>
        <w:pStyle w:val="ListParagraph"/>
        <w:numPr>
          <w:ilvl w:val="0"/>
          <w:numId w:val="4"/>
        </w:numPr>
        <w:spacing w:after="60"/>
      </w:pPr>
      <w:r>
        <w:rPr>
          <w:rFonts w:ascii="Arial" w:cs="Arial" w:eastAsia="Arial" w:hAnsi="Arial"/>
          <w:sz w:val="17"/>
          <w:szCs w:val="17"/>
        </w:rPr>
        <w:t xml:space="preserve">Meier D. (2007). </w:t>
      </w:r>
      <w:r>
        <w:rPr>
          <w:rFonts w:ascii="Arial" w:cs="Arial" w:eastAsia="Arial" w:hAnsi="Arial"/>
          <w:i/>
          <w:iCs/>
          <w:sz w:val="17"/>
          <w:szCs w:val="17"/>
        </w:rPr>
        <w:t xml:space="preserve">Pilotphase Pinch-Methodik 2006/07: Bell AG</w:t>
      </w:r>
      <w:r>
        <w:rPr>
          <w:rFonts w:ascii="Arial" w:cs="Arial" w:eastAsia="Arial" w:hAnsi="Arial"/>
          <w:sz w:val="17"/>
          <w:szCs w:val="17"/>
        </w:rPr>
        <w:t xml:space="preserve">. Schlussbericht, Encontrol GmbH for the Swiss Federal Office of Energy. </w:t>
      </w:r>
      <w:r>
        <w:rPr>
          <w:rFonts w:ascii="Arial" w:cs="Arial" w:eastAsia="Arial" w:hAnsi="Arial"/>
          <w:sz w:val="17"/>
          <w:szCs w:val="17"/>
        </w:rPr>
        <w:t xml:space="preserve">https://pubdb.bfe.admin.ch/de/publication/download/2976</w:t>
      </w:r>
    </w:p>
    <w:p>
      <w:pPr>
        <w:pStyle w:val="ListParagraph"/>
        <w:numPr>
          <w:ilvl w:val="0"/>
          <w:numId w:val="4"/>
        </w:numPr>
        <w:spacing w:after="60"/>
      </w:pPr>
      <w:r>
        <w:rPr>
          <w:rFonts w:ascii="Arial" w:cs="Arial" w:eastAsia="Arial" w:hAnsi="Arial"/>
          <w:sz w:val="17"/>
          <w:szCs w:val="17"/>
        </w:rPr>
        <w:t xml:space="preserve">Nunes J., Dinho da Silva P., Andrade L.P., Domingues L., Gaspar P.D. (2016). Energy assessment of the Portuguese meat industry. </w:t>
      </w:r>
      <w:r>
        <w:rPr>
          <w:rFonts w:ascii="Arial" w:cs="Arial" w:eastAsia="Arial" w:hAnsi="Arial"/>
          <w:i/>
          <w:iCs/>
          <w:sz w:val="17"/>
          <w:szCs w:val="17"/>
        </w:rPr>
        <w:t xml:space="preserve">Energy Efficiency</w:t>
      </w:r>
      <w:r>
        <w:rPr>
          <w:rFonts w:ascii="Arial" w:cs="Arial" w:eastAsia="Arial" w:hAnsi="Arial"/>
          <w:sz w:val="17"/>
          <w:szCs w:val="17"/>
        </w:rPr>
        <w:t xml:space="preserve"> 9, 1163–1178. </w:t>
      </w:r>
      <w:r>
        <w:rPr>
          <w:rFonts w:ascii="Arial" w:cs="Arial" w:eastAsia="Arial" w:hAnsi="Arial"/>
          <w:sz w:val="17"/>
          <w:szCs w:val="17"/>
        </w:rPr>
        <w:t xml:space="preserve">https://doi.org/10.1007/s12053-015-9414-7</w:t>
      </w:r>
    </w:p>
    <w:p>
      <w:pPr>
        <w:pStyle w:val="ListParagraph"/>
        <w:numPr>
          <w:ilvl w:val="0"/>
          <w:numId w:val="4"/>
        </w:numPr>
        <w:spacing w:after="60"/>
      </w:pPr>
      <w:r>
        <w:rPr>
          <w:rFonts w:ascii="Arial" w:cs="Arial" w:eastAsia="Arial" w:hAnsi="Arial"/>
          <w:sz w:val="17"/>
          <w:szCs w:val="17"/>
        </w:rPr>
        <w:t xml:space="preserve">Proviande (2025). </w:t>
      </w:r>
      <w:r>
        <w:rPr>
          <w:rFonts w:ascii="Arial" w:cs="Arial" w:eastAsia="Arial" w:hAnsi="Arial"/>
          <w:i/>
          <w:iCs/>
          <w:sz w:val="17"/>
          <w:szCs w:val="17"/>
        </w:rPr>
        <w:t xml:space="preserve">Der Fleischmarkt im Überblick 2025</w:t>
      </w:r>
      <w:r>
        <w:rPr>
          <w:rFonts w:ascii="Arial" w:cs="Arial" w:eastAsia="Arial" w:hAnsi="Arial"/>
          <w:sz w:val="17"/>
          <w:szCs w:val="17"/>
        </w:rPr>
        <w:t xml:space="preserve">. </w:t>
      </w:r>
      <w:r>
        <w:rPr>
          <w:rFonts w:ascii="Arial" w:cs="Arial" w:eastAsia="Arial" w:hAnsi="Arial"/>
          <w:sz w:val="17"/>
          <w:szCs w:val="17"/>
        </w:rPr>
        <w:t xml:space="preserve">https://www.proviande.ch</w:t>
      </w:r>
    </w:p>
    <w:p>
      <w:pPr>
        <w:pStyle w:val="ListParagraph"/>
        <w:numPr>
          <w:ilvl w:val="0"/>
          <w:numId w:val="4"/>
        </w:numPr>
        <w:spacing w:after="60"/>
      </w:pPr>
      <w:r>
        <w:rPr>
          <w:rFonts w:ascii="Arial" w:cs="Arial" w:eastAsia="Arial" w:hAnsi="Arial"/>
          <w:sz w:val="17"/>
          <w:szCs w:val="17"/>
        </w:rPr>
        <w:t xml:space="preserve">Ramírez C.A., Patel M., Blok K. (2006). How much energy to process one pound of meat? A comparison of energy use and specific energy consumption in the meat industry of four European countries. </w:t>
      </w:r>
      <w:r>
        <w:rPr>
          <w:rFonts w:ascii="Arial" w:cs="Arial" w:eastAsia="Arial" w:hAnsi="Arial"/>
          <w:i/>
          <w:iCs/>
          <w:sz w:val="17"/>
          <w:szCs w:val="17"/>
        </w:rPr>
        <w:t xml:space="preserve">Energy</w:t>
      </w:r>
      <w:r>
        <w:rPr>
          <w:rFonts w:ascii="Arial" w:cs="Arial" w:eastAsia="Arial" w:hAnsi="Arial"/>
          <w:sz w:val="17"/>
          <w:szCs w:val="17"/>
        </w:rPr>
        <w:t xml:space="preserve"> 31, 2047–2063. </w:t>
      </w:r>
      <w:r>
        <w:rPr>
          <w:rFonts w:ascii="Arial" w:cs="Arial" w:eastAsia="Arial" w:hAnsi="Arial"/>
          <w:sz w:val="17"/>
          <w:szCs w:val="17"/>
        </w:rPr>
        <w:t xml:space="preserve">https://doi.org/10.1016/j.energy.2005.08.007</w:t>
      </w:r>
    </w:p>
    <w:p>
      <w:pPr>
        <w:pStyle w:val="Heading1"/>
        <w:keepNext/>
        <w:spacing w:after="120" w:before="240"/>
      </w:pPr>
      <w:r>
        <w:rPr>
          <w:rFonts w:ascii="Arial" w:cs="Arial" w:eastAsia="Arial" w:hAnsi="Arial"/>
          <w:b/>
          <w:bCs/>
          <w:color w:val="1F3864"/>
          <w:sz w:val="26"/>
          <w:szCs w:val="26"/>
        </w:rPr>
        <w:t xml:space="preserve">Further reading</w:t>
      </w:r>
    </w:p>
    <w:p>
      <w:pPr>
        <w:spacing w:after="60" w:before="0" w:line="264"/>
      </w:pPr>
      <w:r>
        <w:rPr>
          <w:rFonts w:ascii="Arial" w:cs="Arial" w:eastAsia="Arial" w:hAnsi="Arial"/>
          <w:sz w:val="20"/>
          <w:szCs w:val="20"/>
        </w:rPr>
        <w:t xml:space="preserve">Swiss pinch studies of meat plants and sector-level data, for comparison with real sites:</w:t>
      </w:r>
    </w:p>
    <w:p>
      <w:pPr>
        <w:pStyle w:val="ListParagraph"/>
        <w:numPr>
          <w:ilvl w:val="0"/>
          <w:numId w:val="3"/>
        </w:numPr>
        <w:spacing w:after="60"/>
      </w:pPr>
      <w:r>
        <w:rPr>
          <w:rFonts w:ascii="Arial" w:cs="Arial" w:eastAsia="Arial" w:hAnsi="Arial"/>
          <w:sz w:val="17"/>
          <w:szCs w:val="17"/>
        </w:rPr>
        <w:t xml:space="preserve">Ong B.H.Y., Bhadbhade N., Olsen D.G., Wellig B. (2023). Characterizing sector-wide thermal energy profiles for industrial sectors. </w:t>
      </w:r>
      <w:r>
        <w:rPr>
          <w:rFonts w:ascii="Arial" w:cs="Arial" w:eastAsia="Arial" w:hAnsi="Arial"/>
          <w:i/>
          <w:iCs/>
          <w:sz w:val="17"/>
          <w:szCs w:val="17"/>
        </w:rPr>
        <w:t xml:space="preserve">Energy</w:t>
      </w:r>
      <w:r>
        <w:rPr>
          <w:rFonts w:ascii="Arial" w:cs="Arial" w:eastAsia="Arial" w:hAnsi="Arial"/>
          <w:sz w:val="17"/>
          <w:szCs w:val="17"/>
        </w:rPr>
        <w:t xml:space="preserve"> 282, 129028 (Swiss meat sector profile). </w:t>
      </w:r>
      <w:r>
        <w:rPr>
          <w:rFonts w:ascii="Arial" w:cs="Arial" w:eastAsia="Arial" w:hAnsi="Arial"/>
          <w:sz w:val="17"/>
          <w:szCs w:val="17"/>
        </w:rPr>
        <w:t xml:space="preserve">https://doi.org/10.1016/j.energy.2023.129028</w:t>
      </w:r>
    </w:p>
    <w:p>
      <w:pPr>
        <w:pStyle w:val="ListParagraph"/>
        <w:numPr>
          <w:ilvl w:val="0"/>
          <w:numId w:val="3"/>
        </w:numPr>
        <w:spacing w:after="60"/>
      </w:pPr>
      <w:r>
        <w:rPr>
          <w:rFonts w:ascii="Arial" w:cs="Arial" w:eastAsia="Arial" w:hAnsi="Arial"/>
          <w:sz w:val="17"/>
          <w:szCs w:val="17"/>
        </w:rPr>
        <w:t xml:space="preserve">DM Energieberatung (2016). </w:t>
      </w:r>
      <w:r>
        <w:rPr>
          <w:rFonts w:ascii="Arial" w:cs="Arial" w:eastAsia="Arial" w:hAnsi="Arial"/>
          <w:i/>
          <w:iCs/>
          <w:sz w:val="17"/>
          <w:szCs w:val="17"/>
        </w:rPr>
        <w:t xml:space="preserve">Pinch-Analyse: Bell Schweiz AG, Oensingen</w:t>
      </w:r>
      <w:r>
        <w:rPr>
          <w:rFonts w:ascii="Arial" w:cs="Arial" w:eastAsia="Arial" w:hAnsi="Arial"/>
          <w:sz w:val="17"/>
          <w:szCs w:val="17"/>
        </w:rPr>
        <w:t xml:space="preserve">. SFOE. </w:t>
      </w:r>
      <w:r>
        <w:rPr>
          <w:rFonts w:ascii="Arial" w:cs="Arial" w:eastAsia="Arial" w:hAnsi="Arial"/>
          <w:sz w:val="17"/>
          <w:szCs w:val="17"/>
        </w:rPr>
        <w:t xml:space="preserve">https://pubdb.bfe.admin.ch/de/publication/download/8405</w:t>
      </w:r>
    </w:p>
    <w:p>
      <w:pPr>
        <w:pStyle w:val="ListParagraph"/>
        <w:numPr>
          <w:ilvl w:val="0"/>
          <w:numId w:val="3"/>
        </w:numPr>
        <w:spacing w:after="60"/>
      </w:pPr>
      <w:r>
        <w:rPr>
          <w:rFonts w:ascii="Arial" w:cs="Arial" w:eastAsia="Arial" w:hAnsi="Arial"/>
          <w:sz w:val="17"/>
          <w:szCs w:val="17"/>
        </w:rPr>
        <w:t xml:space="preserve">DM Energieberatung (2018). </w:t>
      </w:r>
      <w:r>
        <w:rPr>
          <w:rFonts w:ascii="Arial" w:cs="Arial" w:eastAsia="Arial" w:hAnsi="Arial"/>
          <w:i/>
          <w:iCs/>
          <w:sz w:val="17"/>
          <w:szCs w:val="17"/>
        </w:rPr>
        <w:t xml:space="preserve">Pinch-Analyse Bigler AG, Büren an der Aare</w:t>
      </w:r>
      <w:r>
        <w:rPr>
          <w:rFonts w:ascii="Arial" w:cs="Arial" w:eastAsia="Arial" w:hAnsi="Arial"/>
          <w:sz w:val="17"/>
          <w:szCs w:val="17"/>
        </w:rPr>
        <w:t xml:space="preserve">. SFOE. </w:t>
      </w:r>
      <w:r>
        <w:rPr>
          <w:rFonts w:ascii="Arial" w:cs="Arial" w:eastAsia="Arial" w:hAnsi="Arial"/>
          <w:sz w:val="17"/>
          <w:szCs w:val="17"/>
        </w:rPr>
        <w:t xml:space="preserve">https://pubdb.bfe.admin.ch/de/publication/download/9447</w:t>
      </w:r>
    </w:p>
    <w:p>
      <w:pPr>
        <w:pStyle w:val="ListParagraph"/>
        <w:numPr>
          <w:ilvl w:val="0"/>
          <w:numId w:val="3"/>
        </w:numPr>
        <w:spacing w:after="60"/>
      </w:pPr>
      <w:r>
        <w:rPr>
          <w:rFonts w:ascii="Arial" w:cs="Arial" w:eastAsia="Arial" w:hAnsi="Arial"/>
          <w:sz w:val="17"/>
          <w:szCs w:val="17"/>
        </w:rPr>
        <w:t xml:space="preserve">DME Energieberatung (2011). </w:t>
      </w:r>
      <w:r>
        <w:rPr>
          <w:rFonts w:ascii="Arial" w:cs="Arial" w:eastAsia="Arial" w:hAnsi="Arial"/>
          <w:i/>
          <w:iCs/>
          <w:sz w:val="17"/>
          <w:szCs w:val="17"/>
        </w:rPr>
        <w:t xml:space="preserve">Pinch-Analyse 2011: Rapelli SA, Stabio</w:t>
      </w:r>
      <w:r>
        <w:rPr>
          <w:rFonts w:ascii="Arial" w:cs="Arial" w:eastAsia="Arial" w:hAnsi="Arial"/>
          <w:sz w:val="17"/>
          <w:szCs w:val="17"/>
        </w:rPr>
        <w:t xml:space="preserve">. SFOE. </w:t>
      </w:r>
      <w:r>
        <w:rPr>
          <w:rFonts w:ascii="Arial" w:cs="Arial" w:eastAsia="Arial" w:hAnsi="Arial"/>
          <w:sz w:val="17"/>
          <w:szCs w:val="17"/>
        </w:rPr>
        <w:t xml:space="preserve">https://pubdb.bfe.admin.ch/de/publication/download/6447</w:t>
      </w:r>
    </w:p>
    <w:p>
      <w:pPr>
        <w:pStyle w:val="ListParagraph"/>
        <w:numPr>
          <w:ilvl w:val="0"/>
          <w:numId w:val="3"/>
        </w:numPr>
        <w:spacing w:after="60"/>
      </w:pPr>
      <w:r>
        <w:rPr>
          <w:rFonts w:ascii="Arial" w:cs="Arial" w:eastAsia="Arial" w:hAnsi="Arial"/>
          <w:sz w:val="17"/>
          <w:szCs w:val="17"/>
        </w:rPr>
        <w:t xml:space="preserve">Wojdalski J. et al. (2013). Assessment of energy consumption in a meat-processing plant: a case study. </w:t>
      </w:r>
      <w:r>
        <w:rPr>
          <w:rFonts w:ascii="Arial" w:cs="Arial" w:eastAsia="Arial" w:hAnsi="Arial"/>
          <w:i/>
          <w:iCs/>
          <w:sz w:val="17"/>
          <w:szCs w:val="17"/>
        </w:rPr>
        <w:t xml:space="preserve">Food and Bioprocess Technology</w:t>
      </w:r>
      <w:r>
        <w:rPr>
          <w:rFonts w:ascii="Arial" w:cs="Arial" w:eastAsia="Arial" w:hAnsi="Arial"/>
          <w:sz w:val="17"/>
          <w:szCs w:val="17"/>
        </w:rPr>
        <w:t xml:space="preserve"> 6, 2621–2629. </w:t>
      </w:r>
      <w:r>
        <w:rPr>
          <w:rFonts w:ascii="Arial" w:cs="Arial" w:eastAsia="Arial" w:hAnsi="Arial"/>
          <w:sz w:val="17"/>
          <w:szCs w:val="17"/>
        </w:rPr>
        <w:t xml:space="preserve">https://doi.org/10.1007/s11947-012-0924-4</w:t>
      </w:r>
    </w:p>
    <w:p>
      <w:pPr>
        <w:pStyle w:val="ListParagraph"/>
        <w:numPr>
          <w:ilvl w:val="0"/>
          <w:numId w:val="3"/>
        </w:numPr>
        <w:spacing w:after="60"/>
      </w:pPr>
      <w:r>
        <w:rPr>
          <w:rFonts w:ascii="Arial" w:cs="Arial" w:eastAsia="Arial" w:hAnsi="Arial"/>
          <w:sz w:val="17"/>
          <w:szCs w:val="17"/>
        </w:rPr>
        <w:t xml:space="preserve">World Bank Group (2007). </w:t>
      </w:r>
      <w:r>
        <w:rPr>
          <w:rFonts w:ascii="Arial" w:cs="Arial" w:eastAsia="Arial" w:hAnsi="Arial"/>
          <w:i/>
          <w:iCs/>
          <w:sz w:val="17"/>
          <w:szCs w:val="17"/>
        </w:rPr>
        <w:t xml:space="preserve">Environmental, Health, and Safety Guidelines: Meat Processing</w:t>
      </w:r>
      <w:r>
        <w:rPr>
          <w:rFonts w:ascii="Arial" w:cs="Arial" w:eastAsia="Arial" w:hAnsi="Arial"/>
          <w:sz w:val="17"/>
          <w:szCs w:val="17"/>
        </w:rPr>
        <w:t xml:space="preserve">. </w:t>
      </w:r>
      <w:r>
        <w:rPr>
          <w:rFonts w:ascii="Arial" w:cs="Arial" w:eastAsia="Arial" w:hAnsi="Arial"/>
          <w:sz w:val="17"/>
          <w:szCs w:val="17"/>
        </w:rPr>
        <w:t xml:space="preserve">https://www.ifc.org/content/dam/ifc/doc/2000/2007-meat-processing-ehs-guidelines-en.pdf</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Integrated pork plant case study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300"/>
      </w:pPr>
    </w:lvl>
  </w:abstractNum>
  <w:abstractNum w:abstractNumId="3" w15:restartNumberingAfterBreak="0">
    <w:multiLevelType w:val="hybridMultilevel"/>
    <w:lvl w:ilvl="0" w15:tentative="1">
      <w:start w:val="1"/>
      <w:numFmt w:val="bullet"/>
      <w:lvlText w:val="•"/>
      <w:lvlJc w:val="left"/>
      <w:pPr>
        <w:ind w:left="400" w:hanging="300"/>
      </w:pPr>
    </w:lvl>
  </w:abstractNum>
  <w:abstractNum w:abstractNumId="4" w15:restartNumberingAfterBreak="0">
    <w:multiLevelType w:val="hybridMultilevel"/>
    <w:lvl w:ilvl="0" w15:tentative="1">
      <w:start w:val="1"/>
      <w:numFmt w:val="decimal"/>
      <w:lvlText w:val="[%1]"/>
      <w:lvlJc w:val="left"/>
      <w:pPr>
        <w:ind w:left="500" w:hanging="5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1cb70944a7b0dbf172e302f490b8c2e5b6a5f7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Integrated pork plant: slaughtering, cutting and cooked sausages: process data for mass and heat integration</dc:title>
  <dc:creator>Daniel Flórez-Orrego; Meire Ribeiro Domingos; Pullah Bhatnagar; Oktay Boztas</dc:creator>
  <cp:lastModifiedBy>Daniel Flórez-Orrego</cp:lastModifiedBy>
  <cp:revision>2</cp:revision>
  <dcterms:created xsi:type="dcterms:W3CDTF">2026-10-11T22:08:47.992Z</dcterms:created>
  <dcterms:modified xsi:type="dcterms:W3CDTF">2026-10-23T00:16:46Z</dcterms:modified>
</cp:coreProperties>
</file>

<file path=docProps/custom.xml><?xml version="1.0" encoding="utf-8"?>
<Properties xmlns="http://schemas.openxmlformats.org/officeDocument/2006/custom-properties" xmlns:vt="http://schemas.openxmlformats.org/officeDocument/2006/docPropsVTypes"/>
</file>