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951E9" w:rsidRDefault="00406B61">
      <w:pPr>
        <w:rPr>
          <w:sz w:val="32"/>
          <w:szCs w:val="32"/>
        </w:rPr>
      </w:pPr>
      <w:r>
        <w:tab/>
      </w:r>
      <w:r>
        <w:tab/>
      </w:r>
      <w:r>
        <w:rPr>
          <w:sz w:val="32"/>
          <w:szCs w:val="32"/>
        </w:rPr>
        <w:t xml:space="preserve">H-GAC </w:t>
      </w:r>
      <w:proofErr w:type="spellStart"/>
      <w:r>
        <w:rPr>
          <w:sz w:val="32"/>
          <w:szCs w:val="32"/>
        </w:rPr>
        <w:t>VisionEval</w:t>
      </w:r>
      <w:proofErr w:type="spellEnd"/>
      <w:r>
        <w:rPr>
          <w:sz w:val="32"/>
          <w:szCs w:val="32"/>
        </w:rPr>
        <w:t xml:space="preserve"> Proposed Scenario List</w:t>
      </w:r>
    </w:p>
    <w:p w14:paraId="00000002" w14:textId="36C2EA4F" w:rsidR="008951E9" w:rsidRDefault="00406B61">
      <w:r>
        <w:rPr>
          <w:sz w:val="32"/>
          <w:szCs w:val="32"/>
        </w:rPr>
        <w:tab/>
      </w:r>
      <w:r>
        <w:rPr>
          <w:sz w:val="32"/>
          <w:szCs w:val="32"/>
        </w:rPr>
        <w:tab/>
      </w:r>
      <w:r>
        <w:rPr>
          <w:sz w:val="32"/>
          <w:szCs w:val="32"/>
        </w:rPr>
        <w:tab/>
      </w:r>
      <w:r>
        <w:rPr>
          <w:sz w:val="32"/>
          <w:szCs w:val="32"/>
        </w:rPr>
        <w:tab/>
      </w:r>
      <w:r w:rsidR="00D83855">
        <w:t>June 26, 2023</w:t>
      </w:r>
    </w:p>
    <w:p w14:paraId="00000003" w14:textId="77777777" w:rsidR="008951E9" w:rsidRDefault="00406B61">
      <w:pPr>
        <w:rPr>
          <w:b/>
        </w:rPr>
      </w:pPr>
      <w:r>
        <w:rPr>
          <w:b/>
        </w:rPr>
        <w:t xml:space="preserve">Summary of proposed </w:t>
      </w:r>
      <w:sdt>
        <w:sdtPr>
          <w:tag w:val="goog_rdk_0"/>
          <w:id w:val="-733702325"/>
        </w:sdtPr>
        <w:sdtContent>
          <w:commentRangeStart w:id="0"/>
        </w:sdtContent>
      </w:sdt>
      <w:sdt>
        <w:sdtPr>
          <w:tag w:val="goog_rdk_1"/>
          <w:id w:val="2014801896"/>
        </w:sdtPr>
        <w:sdtContent>
          <w:commentRangeStart w:id="1"/>
          <w:commentRangeStart w:id="2"/>
        </w:sdtContent>
      </w:sdt>
      <w:r>
        <w:rPr>
          <w:b/>
        </w:rPr>
        <w:t>scenarios</w:t>
      </w:r>
      <w:commentRangeEnd w:id="0"/>
      <w:r>
        <w:commentReference w:id="0"/>
      </w:r>
      <w:commentRangeEnd w:id="2"/>
      <w:r>
        <w:commentReference w:id="2"/>
      </w:r>
      <w:commentRangeEnd w:id="1"/>
      <w:r w:rsidR="00FF632E">
        <w:rPr>
          <w:rStyle w:val="CommentReference"/>
        </w:rPr>
        <w:commentReference w:id="1"/>
      </w:r>
    </w:p>
    <w:p w14:paraId="00000004" w14:textId="77777777" w:rsidR="008951E9" w:rsidRDefault="00406B61">
      <w:pPr>
        <w:ind w:firstLine="720"/>
      </w:pPr>
      <w:r>
        <w:t xml:space="preserve">Ten categories of scenarios are proposed for H-GAC 8-County transportation management area, which currently consists of 8 </w:t>
      </w:r>
      <w:proofErr w:type="spellStart"/>
      <w:r>
        <w:t>Azones</w:t>
      </w:r>
      <w:proofErr w:type="spellEnd"/>
      <w:r>
        <w:t xml:space="preserve"> (Brazoria, Chambers, Fort Bend, Galveston, Harris, Liberty, </w:t>
      </w:r>
      <w:proofErr w:type="gramStart"/>
      <w:r>
        <w:t>Montgomery</w:t>
      </w:r>
      <w:proofErr w:type="gramEnd"/>
      <w:r>
        <w:t xml:space="preserve"> and Waller County) and 5217 </w:t>
      </w:r>
      <w:proofErr w:type="spellStart"/>
      <w:r>
        <w:t>Bzones</w:t>
      </w:r>
      <w:proofErr w:type="spellEnd"/>
      <w:r>
        <w:t xml:space="preserve"> with a base year of 2019 and a forecast year of 2045.  The scenarios are summarized in Table 1, detailed on the pages that follow, and reflect the following topics of interest to H-GAC.</w:t>
      </w:r>
    </w:p>
    <w:p w14:paraId="00000005" w14:textId="77777777" w:rsidR="008951E9" w:rsidRDefault="00406B61">
      <w:pPr>
        <w:numPr>
          <w:ilvl w:val="0"/>
          <w:numId w:val="1"/>
        </w:numPr>
        <w:pBdr>
          <w:top w:val="nil"/>
          <w:left w:val="nil"/>
          <w:bottom w:val="nil"/>
          <w:right w:val="nil"/>
          <w:between w:val="nil"/>
        </w:pBdr>
        <w:spacing w:after="0"/>
      </w:pPr>
      <w:r>
        <w:rPr>
          <w:color w:val="000000"/>
        </w:rPr>
        <w:t xml:space="preserve">Unexpected development patterns at the TAZ level. </w:t>
      </w:r>
    </w:p>
    <w:p w14:paraId="00000006" w14:textId="4F869502" w:rsidR="008951E9" w:rsidRDefault="00406B61">
      <w:pPr>
        <w:pBdr>
          <w:top w:val="nil"/>
          <w:left w:val="nil"/>
          <w:bottom w:val="nil"/>
          <w:right w:val="nil"/>
          <w:between w:val="nil"/>
        </w:pBdr>
        <w:spacing w:after="0"/>
        <w:ind w:left="720"/>
        <w:rPr>
          <w:color w:val="000000"/>
        </w:rPr>
      </w:pPr>
      <w:r>
        <w:rPr>
          <w:color w:val="000000"/>
        </w:rPr>
        <w:t xml:space="preserve">1a. Unexpected hurricane or storm water damage causes </w:t>
      </w:r>
      <w:r w:rsidR="00FF632E">
        <w:rPr>
          <w:color w:val="000000"/>
        </w:rPr>
        <w:t xml:space="preserve">reduced population in </w:t>
      </w:r>
      <w:r>
        <w:rPr>
          <w:color w:val="000000"/>
        </w:rPr>
        <w:t xml:space="preserve">certain </w:t>
      </w:r>
      <w:proofErr w:type="spellStart"/>
      <w:r w:rsidR="00D120D0">
        <w:rPr>
          <w:color w:val="000000"/>
        </w:rPr>
        <w:t>Bzone</w:t>
      </w:r>
      <w:r>
        <w:rPr>
          <w:color w:val="000000"/>
        </w:rPr>
        <w:t>s</w:t>
      </w:r>
      <w:proofErr w:type="spellEnd"/>
      <w:r>
        <w:rPr>
          <w:color w:val="000000"/>
        </w:rPr>
        <w:t xml:space="preserve">. </w:t>
      </w:r>
    </w:p>
    <w:p w14:paraId="00000007" w14:textId="77777777" w:rsidR="008951E9" w:rsidRDefault="00406B61">
      <w:pPr>
        <w:pBdr>
          <w:top w:val="nil"/>
          <w:left w:val="nil"/>
          <w:bottom w:val="nil"/>
          <w:right w:val="nil"/>
          <w:between w:val="nil"/>
        </w:pBdr>
        <w:spacing w:after="0"/>
        <w:ind w:left="720"/>
        <w:rPr>
          <w:color w:val="000000"/>
        </w:rPr>
      </w:pPr>
      <w:r>
        <w:rPr>
          <w:color w:val="000000"/>
        </w:rPr>
        <w:t>1b. New employment centers emerge and alter employment growth allocations.</w:t>
      </w:r>
    </w:p>
    <w:p w14:paraId="00000008" w14:textId="77777777" w:rsidR="008951E9" w:rsidRDefault="00406B61">
      <w:pPr>
        <w:pBdr>
          <w:top w:val="nil"/>
          <w:left w:val="nil"/>
          <w:bottom w:val="nil"/>
          <w:right w:val="nil"/>
          <w:between w:val="nil"/>
        </w:pBdr>
        <w:spacing w:after="0"/>
        <w:ind w:left="720"/>
        <w:rPr>
          <w:color w:val="000000"/>
        </w:rPr>
      </w:pPr>
      <w:r>
        <w:rPr>
          <w:color w:val="000000"/>
        </w:rPr>
        <w:t>1c. Both households and employment changes occur simultaneously.</w:t>
      </w:r>
    </w:p>
    <w:p w14:paraId="00000009" w14:textId="77777777" w:rsidR="008951E9" w:rsidRDefault="00406B61">
      <w:pPr>
        <w:numPr>
          <w:ilvl w:val="0"/>
          <w:numId w:val="1"/>
        </w:numPr>
        <w:pBdr>
          <w:top w:val="nil"/>
          <w:left w:val="nil"/>
          <w:bottom w:val="nil"/>
          <w:right w:val="nil"/>
          <w:between w:val="nil"/>
        </w:pBdr>
        <w:spacing w:after="0"/>
      </w:pPr>
      <w:r>
        <w:rPr>
          <w:color w:val="000000"/>
        </w:rPr>
        <w:t>Changes in regional growth at selected city/county or employment sub-centers.</w:t>
      </w:r>
    </w:p>
    <w:p w14:paraId="0000000A" w14:textId="5DC5AE7B" w:rsidR="008951E9" w:rsidRDefault="00406B61">
      <w:pPr>
        <w:pBdr>
          <w:top w:val="nil"/>
          <w:left w:val="nil"/>
          <w:bottom w:val="nil"/>
          <w:right w:val="nil"/>
          <w:between w:val="nil"/>
        </w:pBdr>
        <w:spacing w:after="0"/>
        <w:ind w:left="720"/>
        <w:rPr>
          <w:color w:val="000000"/>
        </w:rPr>
      </w:pPr>
      <w:r>
        <w:rPr>
          <w:color w:val="000000"/>
        </w:rPr>
        <w:t>2a. Change population growth in certain county/city so that they are above/below current forecast level.</w:t>
      </w:r>
    </w:p>
    <w:p w14:paraId="0000000B" w14:textId="77777777" w:rsidR="008951E9" w:rsidRDefault="00406B61">
      <w:pPr>
        <w:pBdr>
          <w:top w:val="nil"/>
          <w:left w:val="nil"/>
          <w:bottom w:val="nil"/>
          <w:right w:val="nil"/>
          <w:between w:val="nil"/>
        </w:pBdr>
        <w:spacing w:after="0"/>
        <w:ind w:left="720"/>
        <w:rPr>
          <w:color w:val="000000"/>
        </w:rPr>
      </w:pPr>
      <w:r>
        <w:rPr>
          <w:color w:val="000000"/>
        </w:rPr>
        <w:t xml:space="preserve">2b. </w:t>
      </w:r>
      <w:r>
        <w:t>Change employment growth in selected employment centers</w:t>
      </w:r>
      <w:r>
        <w:rPr>
          <w:color w:val="000000"/>
        </w:rPr>
        <w:t>.</w:t>
      </w:r>
    </w:p>
    <w:p w14:paraId="0000000C" w14:textId="77777777" w:rsidR="008951E9" w:rsidRDefault="00406B61">
      <w:pPr>
        <w:pBdr>
          <w:top w:val="nil"/>
          <w:left w:val="nil"/>
          <w:bottom w:val="nil"/>
          <w:right w:val="nil"/>
          <w:between w:val="nil"/>
        </w:pBdr>
        <w:spacing w:after="0"/>
        <w:ind w:left="720"/>
        <w:rPr>
          <w:color w:val="000000"/>
        </w:rPr>
      </w:pPr>
      <w:r>
        <w:rPr>
          <w:color w:val="000000"/>
        </w:rPr>
        <w:t>2c. Both population and employment changes occur at the same time.</w:t>
      </w:r>
    </w:p>
    <w:p w14:paraId="0000000D" w14:textId="77777777" w:rsidR="008951E9" w:rsidRDefault="007238D4">
      <w:pPr>
        <w:numPr>
          <w:ilvl w:val="0"/>
          <w:numId w:val="1"/>
        </w:numPr>
        <w:pBdr>
          <w:top w:val="nil"/>
          <w:left w:val="nil"/>
          <w:bottom w:val="nil"/>
          <w:right w:val="nil"/>
          <w:between w:val="nil"/>
        </w:pBdr>
        <w:spacing w:after="0"/>
      </w:pPr>
      <w:sdt>
        <w:sdtPr>
          <w:tag w:val="goog_rdk_2"/>
          <w:id w:val="324173462"/>
        </w:sdtPr>
        <w:sdtContent>
          <w:commentRangeStart w:id="3"/>
        </w:sdtContent>
      </w:sdt>
      <w:r w:rsidR="00406B61">
        <w:rPr>
          <w:color w:val="000000"/>
        </w:rPr>
        <w:t>Increased telecommuting.</w:t>
      </w:r>
      <w:commentRangeEnd w:id="3"/>
      <w:r w:rsidR="00406B61">
        <w:commentReference w:id="3"/>
      </w:r>
    </w:p>
    <w:p w14:paraId="0000000E" w14:textId="77777777" w:rsidR="008951E9" w:rsidRDefault="00406B61">
      <w:pPr>
        <w:numPr>
          <w:ilvl w:val="0"/>
          <w:numId w:val="1"/>
        </w:numPr>
        <w:pBdr>
          <w:top w:val="nil"/>
          <w:left w:val="nil"/>
          <w:bottom w:val="nil"/>
          <w:right w:val="nil"/>
          <w:between w:val="nil"/>
        </w:pBdr>
        <w:spacing w:after="0"/>
      </w:pPr>
      <w:r>
        <w:rPr>
          <w:color w:val="000000"/>
        </w:rPr>
        <w:t>Changes in household size.</w:t>
      </w:r>
    </w:p>
    <w:p w14:paraId="0000000F" w14:textId="77777777" w:rsidR="008951E9" w:rsidRDefault="00406B61">
      <w:pPr>
        <w:numPr>
          <w:ilvl w:val="0"/>
          <w:numId w:val="1"/>
        </w:numPr>
        <w:pBdr>
          <w:top w:val="nil"/>
          <w:left w:val="nil"/>
          <w:bottom w:val="nil"/>
          <w:right w:val="nil"/>
          <w:between w:val="nil"/>
        </w:pBdr>
        <w:spacing w:after="0"/>
      </w:pPr>
      <w:r>
        <w:rPr>
          <w:color w:val="000000"/>
        </w:rPr>
        <w:t>Changes in tax policy for transit or highway travel.</w:t>
      </w:r>
    </w:p>
    <w:p w14:paraId="00000010" w14:textId="77777777" w:rsidR="008951E9" w:rsidRDefault="00406B61">
      <w:pPr>
        <w:pBdr>
          <w:top w:val="nil"/>
          <w:left w:val="nil"/>
          <w:bottom w:val="nil"/>
          <w:right w:val="nil"/>
          <w:between w:val="nil"/>
        </w:pBdr>
        <w:spacing w:after="0"/>
        <w:ind w:left="720"/>
        <w:rPr>
          <w:color w:val="000000"/>
        </w:rPr>
      </w:pPr>
      <w:r>
        <w:rPr>
          <w:color w:val="000000"/>
        </w:rPr>
        <w:t>5a. Increase fuel tax on vehicle.</w:t>
      </w:r>
    </w:p>
    <w:p w14:paraId="00000011" w14:textId="77777777" w:rsidR="008951E9" w:rsidRDefault="00406B61">
      <w:pPr>
        <w:pBdr>
          <w:top w:val="nil"/>
          <w:left w:val="nil"/>
          <w:bottom w:val="nil"/>
          <w:right w:val="nil"/>
          <w:between w:val="nil"/>
        </w:pBdr>
        <w:spacing w:after="0"/>
        <w:ind w:left="720"/>
        <w:rPr>
          <w:color w:val="000000"/>
        </w:rPr>
      </w:pPr>
      <w:r>
        <w:rPr>
          <w:color w:val="000000"/>
        </w:rPr>
        <w:t>5b. Keep scenario 5a but now attain the same tax for electric vehicles</w:t>
      </w:r>
      <w:r>
        <w:rPr>
          <w:color w:val="000000"/>
          <w:sz w:val="20"/>
          <w:szCs w:val="20"/>
        </w:rPr>
        <w:t>.</w:t>
      </w:r>
    </w:p>
    <w:p w14:paraId="00000012" w14:textId="77777777" w:rsidR="008951E9" w:rsidRDefault="00406B61">
      <w:pPr>
        <w:pBdr>
          <w:top w:val="nil"/>
          <w:left w:val="nil"/>
          <w:bottom w:val="nil"/>
          <w:right w:val="nil"/>
          <w:between w:val="nil"/>
        </w:pBdr>
        <w:spacing w:after="0"/>
        <w:ind w:left="720"/>
        <w:rPr>
          <w:color w:val="000000"/>
        </w:rPr>
      </w:pPr>
      <w:r>
        <w:rPr>
          <w:color w:val="000000"/>
        </w:rPr>
        <w:t>5c. Retain scenarios 5a and 5b, calculate the increase in transit supply that could be provided by this tax increase, and increase transit supply accordingly.</w:t>
      </w:r>
    </w:p>
    <w:p w14:paraId="00000013" w14:textId="77777777" w:rsidR="008951E9" w:rsidRDefault="00406B61">
      <w:pPr>
        <w:pBdr>
          <w:top w:val="nil"/>
          <w:left w:val="nil"/>
          <w:bottom w:val="nil"/>
          <w:right w:val="nil"/>
          <w:between w:val="nil"/>
        </w:pBdr>
        <w:spacing w:after="0"/>
        <w:ind w:left="720"/>
        <w:rPr>
          <w:color w:val="000000"/>
        </w:rPr>
      </w:pPr>
      <w:r>
        <w:rPr>
          <w:color w:val="000000"/>
        </w:rPr>
        <w:t>5d. Same as 5c except don’t divert funds to transit.</w:t>
      </w:r>
    </w:p>
    <w:p w14:paraId="00000014" w14:textId="77777777" w:rsidR="008951E9" w:rsidRDefault="00406B61">
      <w:pPr>
        <w:numPr>
          <w:ilvl w:val="0"/>
          <w:numId w:val="1"/>
        </w:numPr>
        <w:pBdr>
          <w:top w:val="nil"/>
          <w:left w:val="nil"/>
          <w:bottom w:val="nil"/>
          <w:right w:val="nil"/>
          <w:between w:val="nil"/>
        </w:pBdr>
        <w:spacing w:after="0"/>
      </w:pPr>
      <w:r>
        <w:rPr>
          <w:color w:val="000000"/>
        </w:rPr>
        <w:t xml:space="preserve">Increases in transit or freeway supply. </w:t>
      </w:r>
    </w:p>
    <w:p w14:paraId="00000015" w14:textId="77777777" w:rsidR="008951E9" w:rsidRDefault="00406B61">
      <w:pPr>
        <w:pBdr>
          <w:top w:val="nil"/>
          <w:left w:val="nil"/>
          <w:bottom w:val="nil"/>
          <w:right w:val="nil"/>
          <w:between w:val="nil"/>
        </w:pBdr>
        <w:spacing w:after="0"/>
        <w:ind w:left="720"/>
        <w:rPr>
          <w:color w:val="000000"/>
        </w:rPr>
      </w:pPr>
      <w:r>
        <w:rPr>
          <w:color w:val="000000"/>
        </w:rPr>
        <w:t>6a. Increases in transit density.</w:t>
      </w:r>
    </w:p>
    <w:p w14:paraId="00000016" w14:textId="77777777" w:rsidR="008951E9" w:rsidRDefault="00406B61">
      <w:pPr>
        <w:pBdr>
          <w:top w:val="nil"/>
          <w:left w:val="nil"/>
          <w:bottom w:val="nil"/>
          <w:right w:val="nil"/>
          <w:between w:val="nil"/>
        </w:pBdr>
        <w:spacing w:after="0"/>
        <w:ind w:left="720"/>
        <w:rPr>
          <w:color w:val="000000"/>
        </w:rPr>
      </w:pPr>
      <w:r>
        <w:rPr>
          <w:color w:val="000000"/>
        </w:rPr>
        <w:t>6b. Increases in freeway lane miles.</w:t>
      </w:r>
    </w:p>
    <w:p w14:paraId="00000017" w14:textId="77777777" w:rsidR="008951E9" w:rsidRDefault="00406B61">
      <w:pPr>
        <w:numPr>
          <w:ilvl w:val="0"/>
          <w:numId w:val="1"/>
        </w:numPr>
        <w:pBdr>
          <w:top w:val="nil"/>
          <w:left w:val="nil"/>
          <w:bottom w:val="nil"/>
          <w:right w:val="nil"/>
          <w:between w:val="nil"/>
        </w:pBdr>
        <w:spacing w:after="0"/>
      </w:pPr>
      <w:r>
        <w:rPr>
          <w:color w:val="000000"/>
        </w:rPr>
        <w:lastRenderedPageBreak/>
        <w:t>Reductions or increases in fuel costs (highway, transit).</w:t>
      </w:r>
    </w:p>
    <w:p w14:paraId="00000018" w14:textId="77777777" w:rsidR="008951E9" w:rsidRDefault="00406B61">
      <w:pPr>
        <w:numPr>
          <w:ilvl w:val="0"/>
          <w:numId w:val="1"/>
        </w:numPr>
        <w:pBdr>
          <w:top w:val="nil"/>
          <w:left w:val="nil"/>
          <w:bottom w:val="nil"/>
          <w:right w:val="nil"/>
          <w:between w:val="nil"/>
        </w:pBdr>
        <w:spacing w:after="0"/>
      </w:pPr>
      <w:r>
        <w:rPr>
          <w:color w:val="000000"/>
        </w:rPr>
        <w:t>Availability of subscription-based autonomous vehicles.</w:t>
      </w:r>
    </w:p>
    <w:p w14:paraId="00000019" w14:textId="77777777" w:rsidR="008951E9" w:rsidRDefault="00406B61">
      <w:pPr>
        <w:numPr>
          <w:ilvl w:val="0"/>
          <w:numId w:val="1"/>
        </w:numPr>
        <w:pBdr>
          <w:top w:val="nil"/>
          <w:left w:val="nil"/>
          <w:bottom w:val="nil"/>
          <w:right w:val="nil"/>
          <w:between w:val="nil"/>
        </w:pBdr>
        <w:spacing w:after="0"/>
      </w:pPr>
      <w:r>
        <w:rPr>
          <w:color w:val="000000"/>
        </w:rPr>
        <w:t>Changes in the pedestrian environment in select locations.</w:t>
      </w:r>
    </w:p>
    <w:p w14:paraId="0000001A" w14:textId="77777777" w:rsidR="008951E9" w:rsidRDefault="00406B61">
      <w:pPr>
        <w:numPr>
          <w:ilvl w:val="0"/>
          <w:numId w:val="1"/>
        </w:numPr>
        <w:pBdr>
          <w:top w:val="nil"/>
          <w:left w:val="nil"/>
          <w:bottom w:val="nil"/>
          <w:right w:val="nil"/>
          <w:between w:val="nil"/>
        </w:pBdr>
        <w:spacing w:after="0"/>
      </w:pPr>
      <w:r>
        <w:rPr>
          <w:color w:val="000000"/>
        </w:rPr>
        <w:t>Electrify transit and highway vehicles.</w:t>
      </w:r>
    </w:p>
    <w:p w14:paraId="0000001B" w14:textId="77777777" w:rsidR="008951E9" w:rsidRDefault="00406B61">
      <w:pPr>
        <w:pBdr>
          <w:top w:val="nil"/>
          <w:left w:val="nil"/>
          <w:bottom w:val="nil"/>
          <w:right w:val="nil"/>
          <w:between w:val="nil"/>
        </w:pBdr>
        <w:spacing w:after="0"/>
        <w:ind w:left="720"/>
        <w:rPr>
          <w:color w:val="000000"/>
        </w:rPr>
      </w:pPr>
      <w:r>
        <w:rPr>
          <w:color w:val="000000"/>
        </w:rPr>
        <w:t>10a. To simulate electrification of subscription-based autonomous vehicles.</w:t>
      </w:r>
    </w:p>
    <w:p w14:paraId="0000001C" w14:textId="77777777" w:rsidR="008951E9" w:rsidRDefault="00406B61">
      <w:pPr>
        <w:pBdr>
          <w:top w:val="nil"/>
          <w:left w:val="nil"/>
          <w:bottom w:val="nil"/>
          <w:right w:val="nil"/>
          <w:between w:val="nil"/>
        </w:pBdr>
        <w:spacing w:after="0"/>
        <w:ind w:left="720"/>
        <w:rPr>
          <w:color w:val="000000"/>
        </w:rPr>
      </w:pPr>
      <w:r>
        <w:rPr>
          <w:color w:val="000000"/>
        </w:rPr>
        <w:t>10b. Increase the proportion of hybrid buses and paratransit vans.</w:t>
      </w:r>
    </w:p>
    <w:p w14:paraId="0000001D" w14:textId="77777777" w:rsidR="008951E9" w:rsidRDefault="00406B61">
      <w:pPr>
        <w:pBdr>
          <w:top w:val="nil"/>
          <w:left w:val="nil"/>
          <w:bottom w:val="nil"/>
          <w:right w:val="nil"/>
          <w:between w:val="nil"/>
        </w:pBdr>
        <w:spacing w:after="0"/>
        <w:ind w:left="720"/>
        <w:rPr>
          <w:color w:val="24292E"/>
        </w:rPr>
      </w:pPr>
      <w:r>
        <w:rPr>
          <w:color w:val="000000"/>
        </w:rPr>
        <w:t xml:space="preserve">10c. </w:t>
      </w:r>
      <w:r>
        <w:rPr>
          <w:color w:val="24292E"/>
          <w:highlight w:val="white"/>
        </w:rPr>
        <w:t>To simulation electrification of household vehicles</w:t>
      </w:r>
      <w:r>
        <w:rPr>
          <w:color w:val="24292E"/>
        </w:rPr>
        <w:t>.</w:t>
      </w:r>
    </w:p>
    <w:p w14:paraId="0000001E" w14:textId="77777777" w:rsidR="008951E9" w:rsidRDefault="00406B61">
      <w:pPr>
        <w:pBdr>
          <w:top w:val="nil"/>
          <w:left w:val="nil"/>
          <w:bottom w:val="nil"/>
          <w:right w:val="nil"/>
          <w:between w:val="nil"/>
        </w:pBdr>
        <w:ind w:left="720"/>
        <w:rPr>
          <w:color w:val="000000"/>
        </w:rPr>
      </w:pPr>
      <w:r>
        <w:rPr>
          <w:color w:val="24292E"/>
        </w:rPr>
        <w:t>10d. Increase the proportion of hybrid heavy trucks.</w:t>
      </w:r>
    </w:p>
    <w:p w14:paraId="0000001F" w14:textId="77777777" w:rsidR="008951E9" w:rsidRDefault="00406B61">
      <w:pPr>
        <w:ind w:firstLine="720"/>
      </w:pPr>
      <w:r>
        <w:t xml:space="preserve">Each scenario in Table 1 below reflects one of two types of changes:  a policy change enacted by decision </w:t>
      </w:r>
      <w:proofErr w:type="gramStart"/>
      <w:r>
        <w:t>makers</w:t>
      </w:r>
      <w:proofErr w:type="gramEnd"/>
      <w:r>
        <w:t xml:space="preserve"> or an unanticipated change wrought by external events beyond the control of the decision maker (a key theme noted in the one-minute elevator speeches of the </w:t>
      </w:r>
      <w:proofErr w:type="spellStart"/>
      <w:r>
        <w:t>VisionEval</w:t>
      </w:r>
      <w:proofErr w:type="spellEnd"/>
      <w:r>
        <w:t xml:space="preserve"> Summit held in March).  For instance, population and employment forecasts may differ from what is expected (scenario categories 1 and 2):  while such changes may be related to actions taken by decision makers (school quality, immigration, tax policies), such changes are generally beyond decision makers’ control.  By contrast, decision makers may choose to increase or reduce transportation investments.  Both types of changes—those made by decision makers and those beyond their control—are shown in Table 1. </w:t>
      </w:r>
    </w:p>
    <w:p w14:paraId="00000020" w14:textId="5D103A2E" w:rsidR="008951E9" w:rsidRDefault="00406B61">
      <w:pPr>
        <w:spacing w:after="0" w:line="240" w:lineRule="auto"/>
        <w:rPr>
          <w:b/>
          <w:sz w:val="20"/>
          <w:szCs w:val="20"/>
        </w:rPr>
      </w:pPr>
      <w:r>
        <w:rPr>
          <w:b/>
          <w:sz w:val="20"/>
          <w:szCs w:val="20"/>
        </w:rPr>
        <w:t>Table 1.  Summary of Scenarios with the Houston-Galveston</w:t>
      </w:r>
      <w:r w:rsidR="0096583A">
        <w:rPr>
          <w:b/>
          <w:sz w:val="20"/>
          <w:szCs w:val="20"/>
        </w:rPr>
        <w:t xml:space="preserve"> Area Council</w:t>
      </w:r>
    </w:p>
    <w:tbl>
      <w:tblPr>
        <w:tblStyle w:val="TableGrid"/>
        <w:tblW w:w="13395" w:type="dxa"/>
        <w:tblLayout w:type="fixed"/>
        <w:tblLook w:val="0400" w:firstRow="0" w:lastRow="0" w:firstColumn="0" w:lastColumn="0" w:noHBand="0" w:noVBand="1"/>
      </w:tblPr>
      <w:tblGrid>
        <w:gridCol w:w="2955"/>
        <w:gridCol w:w="5010"/>
        <w:gridCol w:w="1875"/>
        <w:gridCol w:w="1470"/>
        <w:gridCol w:w="2085"/>
      </w:tblGrid>
      <w:tr w:rsidR="008951E9" w14:paraId="33D7F606" w14:textId="77777777" w:rsidTr="00A24BC6">
        <w:tc>
          <w:tcPr>
            <w:tcW w:w="2955" w:type="dxa"/>
          </w:tcPr>
          <w:p w14:paraId="00000021" w14:textId="77777777" w:rsidR="008951E9" w:rsidRDefault="00406B61">
            <w:pPr>
              <w:rPr>
                <w:b/>
                <w:sz w:val="20"/>
                <w:szCs w:val="20"/>
              </w:rPr>
            </w:pPr>
            <w:r>
              <w:rPr>
                <w:b/>
                <w:sz w:val="20"/>
                <w:szCs w:val="20"/>
              </w:rPr>
              <w:t>No</w:t>
            </w:r>
          </w:p>
        </w:tc>
        <w:tc>
          <w:tcPr>
            <w:tcW w:w="5010" w:type="dxa"/>
          </w:tcPr>
          <w:p w14:paraId="00000022" w14:textId="77777777" w:rsidR="008951E9" w:rsidRDefault="00406B61">
            <w:pPr>
              <w:rPr>
                <w:b/>
                <w:sz w:val="20"/>
                <w:szCs w:val="20"/>
              </w:rPr>
            </w:pPr>
            <w:r>
              <w:rPr>
                <w:b/>
                <w:sz w:val="20"/>
                <w:szCs w:val="20"/>
              </w:rPr>
              <w:t>Changes from Base Case</w:t>
            </w:r>
          </w:p>
        </w:tc>
        <w:tc>
          <w:tcPr>
            <w:tcW w:w="1875" w:type="dxa"/>
          </w:tcPr>
          <w:p w14:paraId="00000023" w14:textId="77777777" w:rsidR="008951E9" w:rsidRDefault="00406B61">
            <w:pPr>
              <w:rPr>
                <w:b/>
                <w:sz w:val="20"/>
                <w:szCs w:val="20"/>
              </w:rPr>
            </w:pPr>
            <w:r>
              <w:rPr>
                <w:b/>
                <w:sz w:val="20"/>
                <w:szCs w:val="20"/>
              </w:rPr>
              <w:t>Input Files</w:t>
            </w:r>
          </w:p>
        </w:tc>
        <w:tc>
          <w:tcPr>
            <w:tcW w:w="1470" w:type="dxa"/>
          </w:tcPr>
          <w:p w14:paraId="00000024" w14:textId="77777777" w:rsidR="008951E9" w:rsidRPr="00D97CA5" w:rsidRDefault="00406B61" w:rsidP="00D97CA5">
            <w:pPr>
              <w:jc w:val="center"/>
              <w:rPr>
                <w:b/>
                <w:bCs/>
                <w:sz w:val="20"/>
                <w:szCs w:val="20"/>
              </w:rPr>
            </w:pPr>
            <w:r w:rsidRPr="00D97CA5">
              <w:rPr>
                <w:b/>
                <w:bCs/>
                <w:sz w:val="20"/>
                <w:szCs w:val="20"/>
              </w:rPr>
              <w:t>Variables of Interest</w:t>
            </w:r>
          </w:p>
        </w:tc>
        <w:tc>
          <w:tcPr>
            <w:tcW w:w="2085" w:type="dxa"/>
          </w:tcPr>
          <w:p w14:paraId="00000025" w14:textId="77777777" w:rsidR="008951E9" w:rsidRPr="00D97CA5" w:rsidRDefault="00406B61" w:rsidP="00D97CA5">
            <w:pPr>
              <w:jc w:val="center"/>
              <w:rPr>
                <w:b/>
                <w:bCs/>
                <w:sz w:val="20"/>
                <w:szCs w:val="20"/>
              </w:rPr>
            </w:pPr>
            <w:r w:rsidRPr="00D97CA5">
              <w:rPr>
                <w:b/>
                <w:bCs/>
                <w:sz w:val="20"/>
                <w:szCs w:val="20"/>
              </w:rPr>
              <w:t>Comments</w:t>
            </w:r>
          </w:p>
        </w:tc>
      </w:tr>
      <w:tr w:rsidR="008951E9" w14:paraId="7F0609B6" w14:textId="77777777" w:rsidTr="00A24BC6">
        <w:tc>
          <w:tcPr>
            <w:tcW w:w="2955" w:type="dxa"/>
          </w:tcPr>
          <w:p w14:paraId="00000026" w14:textId="77777777" w:rsidR="008951E9" w:rsidRDefault="00406B61">
            <w:pPr>
              <w:rPr>
                <w:sz w:val="20"/>
                <w:szCs w:val="20"/>
              </w:rPr>
            </w:pPr>
            <w:r>
              <w:rPr>
                <w:sz w:val="20"/>
                <w:szCs w:val="20"/>
              </w:rPr>
              <w:t>0</w:t>
            </w:r>
          </w:p>
        </w:tc>
        <w:tc>
          <w:tcPr>
            <w:tcW w:w="5010" w:type="dxa"/>
          </w:tcPr>
          <w:p w14:paraId="00000027" w14:textId="77777777" w:rsidR="008951E9" w:rsidRDefault="00406B61">
            <w:pPr>
              <w:rPr>
                <w:sz w:val="20"/>
                <w:szCs w:val="20"/>
              </w:rPr>
            </w:pPr>
            <w:r>
              <w:rPr>
                <w:sz w:val="20"/>
                <w:szCs w:val="20"/>
              </w:rPr>
              <w:t xml:space="preserve">None. </w:t>
            </w:r>
          </w:p>
        </w:tc>
        <w:tc>
          <w:tcPr>
            <w:tcW w:w="1875" w:type="dxa"/>
          </w:tcPr>
          <w:p w14:paraId="00000028" w14:textId="77777777" w:rsidR="008951E9" w:rsidRDefault="008951E9">
            <w:pPr>
              <w:rPr>
                <w:sz w:val="20"/>
                <w:szCs w:val="20"/>
              </w:rPr>
            </w:pPr>
          </w:p>
        </w:tc>
        <w:tc>
          <w:tcPr>
            <w:tcW w:w="1470" w:type="dxa"/>
          </w:tcPr>
          <w:p w14:paraId="00000029" w14:textId="77777777" w:rsidR="008951E9" w:rsidRDefault="008951E9">
            <w:pPr>
              <w:rPr>
                <w:sz w:val="20"/>
                <w:szCs w:val="20"/>
              </w:rPr>
            </w:pPr>
          </w:p>
        </w:tc>
        <w:tc>
          <w:tcPr>
            <w:tcW w:w="2085" w:type="dxa"/>
          </w:tcPr>
          <w:p w14:paraId="0000002A" w14:textId="77777777" w:rsidR="008951E9" w:rsidRDefault="008951E9">
            <w:pPr>
              <w:rPr>
                <w:sz w:val="20"/>
                <w:szCs w:val="20"/>
              </w:rPr>
            </w:pPr>
          </w:p>
        </w:tc>
      </w:tr>
      <w:tr w:rsidR="008951E9" w14:paraId="25AF7A8A" w14:textId="77777777" w:rsidTr="00A24BC6">
        <w:tc>
          <w:tcPr>
            <w:tcW w:w="2955" w:type="dxa"/>
          </w:tcPr>
          <w:p w14:paraId="0000002B" w14:textId="77777777" w:rsidR="008951E9" w:rsidRDefault="00406B61">
            <w:pPr>
              <w:rPr>
                <w:sz w:val="20"/>
                <w:szCs w:val="20"/>
              </w:rPr>
            </w:pPr>
            <w:r>
              <w:rPr>
                <w:sz w:val="20"/>
                <w:szCs w:val="20"/>
              </w:rPr>
              <w:t>1a. Unexpected development patterns at the TAZ level</w:t>
            </w:r>
          </w:p>
        </w:tc>
        <w:tc>
          <w:tcPr>
            <w:tcW w:w="5010" w:type="dxa"/>
          </w:tcPr>
          <w:p w14:paraId="0000002C" w14:textId="1E61A106" w:rsidR="008951E9" w:rsidRDefault="00406B61">
            <w:pPr>
              <w:rPr>
                <w:sz w:val="20"/>
                <w:szCs w:val="20"/>
              </w:rPr>
            </w:pPr>
            <w:r>
              <w:rPr>
                <w:sz w:val="20"/>
                <w:szCs w:val="20"/>
              </w:rPr>
              <w:t xml:space="preserve">Unexpected hurricane or storm water damage </w:t>
            </w:r>
            <w:r w:rsidR="0096583A">
              <w:rPr>
                <w:sz w:val="20"/>
                <w:szCs w:val="20"/>
              </w:rPr>
              <w:t>reduces population density in hurricane evacuation</w:t>
            </w:r>
            <w:r>
              <w:rPr>
                <w:sz w:val="20"/>
                <w:szCs w:val="20"/>
              </w:rPr>
              <w:t xml:space="preserve"> areas. </w:t>
            </w:r>
          </w:p>
          <w:p w14:paraId="0000002D" w14:textId="42B31BDC" w:rsidR="008951E9" w:rsidRDefault="00406B61">
            <w:pPr>
              <w:rPr>
                <w:sz w:val="20"/>
                <w:szCs w:val="20"/>
              </w:rPr>
            </w:pPr>
            <w:r>
              <w:rPr>
                <w:sz w:val="20"/>
                <w:szCs w:val="20"/>
              </w:rPr>
              <w:t xml:space="preserve">Keep all </w:t>
            </w:r>
            <w:proofErr w:type="spellStart"/>
            <w:r>
              <w:rPr>
                <w:sz w:val="20"/>
                <w:szCs w:val="20"/>
              </w:rPr>
              <w:t>Azone</w:t>
            </w:r>
            <w:proofErr w:type="spellEnd"/>
            <w:r>
              <w:rPr>
                <w:sz w:val="20"/>
                <w:szCs w:val="20"/>
              </w:rPr>
              <w:t xml:space="preserve"> </w:t>
            </w:r>
            <w:proofErr w:type="gramStart"/>
            <w:r>
              <w:rPr>
                <w:sz w:val="20"/>
                <w:szCs w:val="20"/>
              </w:rPr>
              <w:t>households</w:t>
            </w:r>
            <w:proofErr w:type="gramEnd"/>
            <w:r>
              <w:rPr>
                <w:sz w:val="20"/>
                <w:szCs w:val="20"/>
              </w:rPr>
              <w:t xml:space="preserve"> constant.  For </w:t>
            </w:r>
            <w:proofErr w:type="spellStart"/>
            <w:r>
              <w:rPr>
                <w:sz w:val="20"/>
                <w:szCs w:val="20"/>
              </w:rPr>
              <w:t>Bzones</w:t>
            </w:r>
            <w:proofErr w:type="spellEnd"/>
            <w:r>
              <w:rPr>
                <w:sz w:val="20"/>
                <w:szCs w:val="20"/>
              </w:rPr>
              <w:t>, change household allocation (bzone_dwelling_units.csv).  Re</w:t>
            </w:r>
            <w:r w:rsidR="00C47CD6">
              <w:rPr>
                <w:sz w:val="20"/>
                <w:szCs w:val="20"/>
              </w:rPr>
              <w:t>duce housing units</w:t>
            </w:r>
            <w:r>
              <w:rPr>
                <w:sz w:val="20"/>
                <w:szCs w:val="20"/>
              </w:rPr>
              <w:t xml:space="preserve"> </w:t>
            </w:r>
            <w:r w:rsidR="00632DF5">
              <w:rPr>
                <w:sz w:val="20"/>
                <w:szCs w:val="20"/>
              </w:rPr>
              <w:t xml:space="preserve">in </w:t>
            </w:r>
            <w:r w:rsidR="008F4121">
              <w:rPr>
                <w:sz w:val="20"/>
                <w:szCs w:val="20"/>
              </w:rPr>
              <w:t xml:space="preserve">old neighborhood </w:t>
            </w:r>
            <w:r w:rsidR="00632DF5">
              <w:rPr>
                <w:sz w:val="20"/>
                <w:szCs w:val="20"/>
              </w:rPr>
              <w:t xml:space="preserve">of Galveston Island </w:t>
            </w:r>
            <w:r w:rsidR="008F4121">
              <w:rPr>
                <w:sz w:val="20"/>
                <w:szCs w:val="20"/>
              </w:rPr>
              <w:t>(</w:t>
            </w:r>
            <w:r w:rsidR="00C47CD6">
              <w:rPr>
                <w:sz w:val="20"/>
                <w:szCs w:val="20"/>
              </w:rPr>
              <w:t xml:space="preserve">East of </w:t>
            </w:r>
            <w:proofErr w:type="spellStart"/>
            <w:r w:rsidR="00C47CD6">
              <w:rPr>
                <w:sz w:val="20"/>
                <w:szCs w:val="20"/>
              </w:rPr>
              <w:t>Offats</w:t>
            </w:r>
            <w:proofErr w:type="spellEnd"/>
            <w:r w:rsidR="00C47CD6">
              <w:rPr>
                <w:sz w:val="20"/>
                <w:szCs w:val="20"/>
              </w:rPr>
              <w:t xml:space="preserve"> Bayou Cross Rd</w:t>
            </w:r>
            <w:r w:rsidR="004C2FFD">
              <w:rPr>
                <w:sz w:val="20"/>
                <w:szCs w:val="20"/>
              </w:rPr>
              <w:t xml:space="preserve">) </w:t>
            </w:r>
            <w:proofErr w:type="spellStart"/>
            <w:r>
              <w:rPr>
                <w:sz w:val="20"/>
                <w:szCs w:val="20"/>
              </w:rPr>
              <w:t>Bzones</w:t>
            </w:r>
            <w:proofErr w:type="spellEnd"/>
            <w:r w:rsidR="00C47CD6">
              <w:rPr>
                <w:sz w:val="20"/>
                <w:szCs w:val="20"/>
              </w:rPr>
              <w:t xml:space="preserve"> by </w:t>
            </w:r>
            <w:r w:rsidR="00CF4C8A">
              <w:rPr>
                <w:sz w:val="20"/>
                <w:szCs w:val="20"/>
              </w:rPr>
              <w:t>20</w:t>
            </w:r>
            <w:r w:rsidR="00C47CD6">
              <w:rPr>
                <w:sz w:val="20"/>
                <w:szCs w:val="20"/>
              </w:rPr>
              <w:t xml:space="preserve">%, and </w:t>
            </w:r>
            <w:r w:rsidR="002C6D78">
              <w:rPr>
                <w:sz w:val="20"/>
                <w:szCs w:val="20"/>
              </w:rPr>
              <w:t>relocate</w:t>
            </w:r>
            <w:r w:rsidR="00C47CD6">
              <w:rPr>
                <w:sz w:val="20"/>
                <w:szCs w:val="20"/>
              </w:rPr>
              <w:t xml:space="preserve"> reduced dwelling units (</w:t>
            </w:r>
            <w:r w:rsidR="002C6D78">
              <w:rPr>
                <w:sz w:val="20"/>
                <w:szCs w:val="20"/>
              </w:rPr>
              <w:t>2797 SFDU, 843 MFDU, and 34 GQDU</w:t>
            </w:r>
            <w:r w:rsidR="00C47CD6">
              <w:rPr>
                <w:sz w:val="20"/>
                <w:szCs w:val="20"/>
              </w:rPr>
              <w:t>)</w:t>
            </w:r>
            <w:r>
              <w:rPr>
                <w:sz w:val="20"/>
                <w:szCs w:val="20"/>
              </w:rPr>
              <w:t xml:space="preserve"> to other </w:t>
            </w:r>
            <w:proofErr w:type="spellStart"/>
            <w:r>
              <w:rPr>
                <w:sz w:val="20"/>
                <w:szCs w:val="20"/>
              </w:rPr>
              <w:t>Bzones</w:t>
            </w:r>
            <w:proofErr w:type="spellEnd"/>
            <w:r w:rsidR="00632DF5">
              <w:rPr>
                <w:sz w:val="20"/>
                <w:szCs w:val="20"/>
              </w:rPr>
              <w:t xml:space="preserve"> </w:t>
            </w:r>
            <w:r w:rsidR="000A53EB">
              <w:rPr>
                <w:sz w:val="20"/>
                <w:szCs w:val="20"/>
              </w:rPr>
              <w:t>along FM 517</w:t>
            </w:r>
            <w:r w:rsidR="002C6D78">
              <w:rPr>
                <w:sz w:val="20"/>
                <w:szCs w:val="20"/>
              </w:rPr>
              <w:t xml:space="preserve"> (South of SH99, east of I-45 and north of SH 6)</w:t>
            </w:r>
            <w:r>
              <w:rPr>
                <w:sz w:val="20"/>
                <w:szCs w:val="20"/>
              </w:rPr>
              <w:t xml:space="preserve"> within </w:t>
            </w:r>
            <w:r w:rsidR="008F4121">
              <w:rPr>
                <w:sz w:val="20"/>
                <w:szCs w:val="20"/>
              </w:rPr>
              <w:t>Galveston County</w:t>
            </w:r>
            <w:r w:rsidR="002C6D78">
              <w:rPr>
                <w:sz w:val="20"/>
                <w:szCs w:val="20"/>
              </w:rPr>
              <w:t>.</w:t>
            </w:r>
            <w:r w:rsidR="00882EA8">
              <w:rPr>
                <w:sz w:val="20"/>
                <w:szCs w:val="20"/>
              </w:rPr>
              <w:t xml:space="preserve"> Relocated additional GQ population to Bzone 4663 only. </w:t>
            </w:r>
          </w:p>
        </w:tc>
        <w:tc>
          <w:tcPr>
            <w:tcW w:w="1875" w:type="dxa"/>
          </w:tcPr>
          <w:p w14:paraId="0000002E" w14:textId="77777777" w:rsidR="008951E9" w:rsidRDefault="00406B61">
            <w:pPr>
              <w:rPr>
                <w:sz w:val="20"/>
                <w:szCs w:val="20"/>
              </w:rPr>
            </w:pPr>
            <w:r>
              <w:rPr>
                <w:sz w:val="20"/>
                <w:szCs w:val="20"/>
              </w:rPr>
              <w:t>bzone_dwelling_units.csv</w:t>
            </w:r>
          </w:p>
          <w:p w14:paraId="16DF51A0" w14:textId="77777777" w:rsidR="002039E4" w:rsidRDefault="002039E4">
            <w:pPr>
              <w:rPr>
                <w:sz w:val="20"/>
                <w:szCs w:val="20"/>
              </w:rPr>
            </w:pPr>
          </w:p>
          <w:p w14:paraId="2BE97BE3" w14:textId="77777777" w:rsidR="002039E4" w:rsidRDefault="002039E4">
            <w:pPr>
              <w:rPr>
                <w:sz w:val="20"/>
                <w:szCs w:val="20"/>
              </w:rPr>
            </w:pPr>
          </w:p>
          <w:p w14:paraId="0C84B9EC" w14:textId="77777777" w:rsidR="002039E4" w:rsidRDefault="002039E4">
            <w:pPr>
              <w:rPr>
                <w:sz w:val="20"/>
                <w:szCs w:val="20"/>
              </w:rPr>
            </w:pPr>
          </w:p>
          <w:p w14:paraId="0000002F" w14:textId="33C4F741" w:rsidR="008951E9" w:rsidRDefault="008951E9">
            <w:pPr>
              <w:rPr>
                <w:sz w:val="20"/>
                <w:szCs w:val="20"/>
              </w:rPr>
            </w:pPr>
          </w:p>
        </w:tc>
        <w:tc>
          <w:tcPr>
            <w:tcW w:w="1470" w:type="dxa"/>
          </w:tcPr>
          <w:p w14:paraId="00000030" w14:textId="77777777" w:rsidR="008951E9" w:rsidRDefault="00406B61">
            <w:pPr>
              <w:pBdr>
                <w:top w:val="nil"/>
                <w:left w:val="nil"/>
                <w:bottom w:val="nil"/>
                <w:right w:val="nil"/>
                <w:between w:val="nil"/>
              </w:pBdr>
              <w:jc w:val="center"/>
              <w:rPr>
                <w:color w:val="000000"/>
                <w:sz w:val="20"/>
                <w:szCs w:val="20"/>
              </w:rPr>
            </w:pPr>
            <w:r>
              <w:rPr>
                <w:sz w:val="20"/>
                <w:szCs w:val="20"/>
              </w:rPr>
              <w:t>SFDU, MFDU, GQDU</w:t>
            </w:r>
          </w:p>
        </w:tc>
        <w:tc>
          <w:tcPr>
            <w:tcW w:w="2085" w:type="dxa"/>
          </w:tcPr>
          <w:p w14:paraId="00000031" w14:textId="6091C8CD" w:rsidR="008951E9" w:rsidRDefault="00574B7B" w:rsidP="00574B7B">
            <w:pPr>
              <w:pBdr>
                <w:top w:val="nil"/>
                <w:left w:val="nil"/>
                <w:bottom w:val="nil"/>
                <w:right w:val="nil"/>
                <w:between w:val="nil"/>
              </w:pBdr>
              <w:rPr>
                <w:color w:val="000000"/>
                <w:sz w:val="20"/>
                <w:szCs w:val="20"/>
              </w:rPr>
            </w:pPr>
            <w:r>
              <w:rPr>
                <w:color w:val="000000"/>
                <w:sz w:val="20"/>
                <w:szCs w:val="20"/>
              </w:rPr>
              <w:t xml:space="preserve">Based on H-GAC’s Hurricane Evacuation map, </w:t>
            </w:r>
            <w:r w:rsidR="00632DF5">
              <w:rPr>
                <w:color w:val="000000"/>
                <w:sz w:val="20"/>
                <w:szCs w:val="20"/>
              </w:rPr>
              <w:t xml:space="preserve">reduce </w:t>
            </w:r>
            <w:r>
              <w:rPr>
                <w:color w:val="000000"/>
                <w:sz w:val="20"/>
                <w:szCs w:val="20"/>
              </w:rPr>
              <w:t>2</w:t>
            </w:r>
            <w:r w:rsidR="00081FCC">
              <w:rPr>
                <w:color w:val="000000"/>
                <w:sz w:val="20"/>
                <w:szCs w:val="20"/>
              </w:rPr>
              <w:t>0</w:t>
            </w:r>
            <w:r>
              <w:rPr>
                <w:color w:val="000000"/>
                <w:sz w:val="20"/>
                <w:szCs w:val="20"/>
              </w:rPr>
              <w:t>% of purple zone househol</w:t>
            </w:r>
            <w:r w:rsidR="00632DF5">
              <w:rPr>
                <w:color w:val="000000"/>
                <w:sz w:val="20"/>
                <w:szCs w:val="20"/>
              </w:rPr>
              <w:t>ds</w:t>
            </w:r>
            <w:r>
              <w:rPr>
                <w:color w:val="000000"/>
                <w:sz w:val="20"/>
                <w:szCs w:val="20"/>
              </w:rPr>
              <w:t xml:space="preserve"> in Galveston </w:t>
            </w:r>
            <w:r w:rsidR="00632DF5">
              <w:rPr>
                <w:color w:val="000000"/>
                <w:sz w:val="20"/>
                <w:szCs w:val="20"/>
              </w:rPr>
              <w:t>Island</w:t>
            </w:r>
            <w:r>
              <w:rPr>
                <w:color w:val="000000"/>
                <w:sz w:val="20"/>
                <w:szCs w:val="20"/>
              </w:rPr>
              <w:t xml:space="preserve"> </w:t>
            </w:r>
            <w:r w:rsidR="00632DF5">
              <w:rPr>
                <w:color w:val="000000"/>
                <w:sz w:val="20"/>
                <w:szCs w:val="20"/>
              </w:rPr>
              <w:t>to relocate</w:t>
            </w:r>
            <w:r w:rsidR="00991370">
              <w:rPr>
                <w:color w:val="000000"/>
                <w:sz w:val="20"/>
                <w:szCs w:val="20"/>
              </w:rPr>
              <w:t xml:space="preserve"> to </w:t>
            </w:r>
            <w:r w:rsidR="00081FCC">
              <w:rPr>
                <w:color w:val="000000"/>
                <w:sz w:val="20"/>
                <w:szCs w:val="20"/>
              </w:rPr>
              <w:t xml:space="preserve">upper northwest </w:t>
            </w:r>
            <w:r w:rsidR="00991370">
              <w:rPr>
                <w:color w:val="000000"/>
                <w:sz w:val="20"/>
                <w:szCs w:val="20"/>
              </w:rPr>
              <w:t xml:space="preserve">of </w:t>
            </w:r>
            <w:r w:rsidR="00081FCC">
              <w:rPr>
                <w:color w:val="000000"/>
                <w:sz w:val="20"/>
                <w:szCs w:val="20"/>
              </w:rPr>
              <w:t xml:space="preserve">Galveston </w:t>
            </w:r>
            <w:r w:rsidR="00991370">
              <w:rPr>
                <w:color w:val="000000"/>
                <w:sz w:val="20"/>
                <w:szCs w:val="20"/>
              </w:rPr>
              <w:t xml:space="preserve">County area. </w:t>
            </w:r>
          </w:p>
        </w:tc>
      </w:tr>
      <w:tr w:rsidR="008951E9" w14:paraId="57FCB781" w14:textId="77777777" w:rsidTr="00A24BC6">
        <w:trPr>
          <w:trHeight w:val="1235"/>
        </w:trPr>
        <w:tc>
          <w:tcPr>
            <w:tcW w:w="2955" w:type="dxa"/>
          </w:tcPr>
          <w:p w14:paraId="00000032" w14:textId="77777777" w:rsidR="008951E9" w:rsidRDefault="00406B61">
            <w:pPr>
              <w:rPr>
                <w:sz w:val="20"/>
                <w:szCs w:val="20"/>
              </w:rPr>
            </w:pPr>
            <w:r>
              <w:rPr>
                <w:sz w:val="20"/>
                <w:szCs w:val="20"/>
              </w:rPr>
              <w:lastRenderedPageBreak/>
              <w:t>1b. Unexpected development patterns at the TAZ level</w:t>
            </w:r>
          </w:p>
        </w:tc>
        <w:tc>
          <w:tcPr>
            <w:tcW w:w="5010" w:type="dxa"/>
          </w:tcPr>
          <w:p w14:paraId="00000033" w14:textId="35551783" w:rsidR="008951E9" w:rsidRDefault="00406B61">
            <w:pPr>
              <w:rPr>
                <w:sz w:val="20"/>
                <w:szCs w:val="20"/>
              </w:rPr>
            </w:pPr>
            <w:r>
              <w:rPr>
                <w:sz w:val="20"/>
                <w:szCs w:val="20"/>
              </w:rPr>
              <w:t>New employment centers emerge and alter employment growth allocations.</w:t>
            </w:r>
            <w:r w:rsidR="009750FA">
              <w:rPr>
                <w:sz w:val="20"/>
                <w:szCs w:val="20"/>
              </w:rPr>
              <w:t xml:space="preserve"> Added new employment centers, Conroe, Sugar Land, and Rosenberg</w:t>
            </w:r>
            <w:r w:rsidR="003E50E6">
              <w:rPr>
                <w:sz w:val="20"/>
                <w:szCs w:val="20"/>
              </w:rPr>
              <w:t>,</w:t>
            </w:r>
            <w:r w:rsidR="009750FA">
              <w:rPr>
                <w:sz w:val="20"/>
                <w:szCs w:val="20"/>
              </w:rPr>
              <w:t xml:space="preserve"> to existing employment centers list. Increase employment in Conroe and Rosenberg center by 15%, and Sugar Land center by 5%. </w:t>
            </w:r>
            <w:r w:rsidR="006A782C">
              <w:rPr>
                <w:sz w:val="20"/>
                <w:szCs w:val="20"/>
              </w:rPr>
              <w:t xml:space="preserve">The 2045 base regional total employment is 4,701,843. Additional increased employment in new centers is 15,878. It accounts for 0.3% of total employment. </w:t>
            </w:r>
          </w:p>
          <w:p w14:paraId="00000034" w14:textId="13C6A066" w:rsidR="008951E9" w:rsidRDefault="008951E9">
            <w:pPr>
              <w:rPr>
                <w:sz w:val="20"/>
                <w:szCs w:val="20"/>
              </w:rPr>
            </w:pPr>
          </w:p>
        </w:tc>
        <w:tc>
          <w:tcPr>
            <w:tcW w:w="1875" w:type="dxa"/>
          </w:tcPr>
          <w:p w14:paraId="00000035" w14:textId="264E4F28" w:rsidR="008951E9" w:rsidRDefault="00494D48" w:rsidP="004C65AF">
            <w:pPr>
              <w:widowControl w:val="0"/>
              <w:pBdr>
                <w:top w:val="nil"/>
                <w:left w:val="nil"/>
                <w:bottom w:val="nil"/>
                <w:right w:val="nil"/>
                <w:between w:val="nil"/>
              </w:pBdr>
              <w:rPr>
                <w:sz w:val="20"/>
                <w:szCs w:val="20"/>
              </w:rPr>
            </w:pPr>
            <w:r>
              <w:rPr>
                <w:sz w:val="20"/>
                <w:szCs w:val="20"/>
              </w:rPr>
              <w:t>bzone_employment.csv</w:t>
            </w:r>
          </w:p>
        </w:tc>
        <w:tc>
          <w:tcPr>
            <w:tcW w:w="1470" w:type="dxa"/>
          </w:tcPr>
          <w:p w14:paraId="00000036" w14:textId="53FA5421" w:rsidR="008951E9" w:rsidRDefault="00406B61">
            <w:pPr>
              <w:widowControl w:val="0"/>
              <w:pBdr>
                <w:top w:val="nil"/>
                <w:left w:val="nil"/>
                <w:bottom w:val="nil"/>
                <w:right w:val="nil"/>
                <w:between w:val="nil"/>
              </w:pBdr>
              <w:rPr>
                <w:sz w:val="20"/>
                <w:szCs w:val="20"/>
              </w:rPr>
            </w:pPr>
            <w:proofErr w:type="spellStart"/>
            <w:r>
              <w:rPr>
                <w:sz w:val="20"/>
                <w:szCs w:val="20"/>
              </w:rPr>
              <w:t>TotEmp</w:t>
            </w:r>
            <w:proofErr w:type="spellEnd"/>
            <w:r w:rsidR="00704A88">
              <w:rPr>
                <w:sz w:val="20"/>
                <w:szCs w:val="20"/>
              </w:rPr>
              <w:t xml:space="preserve">. </w:t>
            </w:r>
            <w:proofErr w:type="spellStart"/>
            <w:r w:rsidR="00081FCC">
              <w:rPr>
                <w:sz w:val="20"/>
                <w:szCs w:val="20"/>
              </w:rPr>
              <w:t>TotRet</w:t>
            </w:r>
            <w:proofErr w:type="spellEnd"/>
            <w:r w:rsidR="00081FCC">
              <w:rPr>
                <w:sz w:val="20"/>
                <w:szCs w:val="20"/>
              </w:rPr>
              <w:t xml:space="preserve">, </w:t>
            </w:r>
            <w:proofErr w:type="spellStart"/>
            <w:r w:rsidR="00081FCC">
              <w:rPr>
                <w:sz w:val="20"/>
                <w:szCs w:val="20"/>
              </w:rPr>
              <w:t>TotServ</w:t>
            </w:r>
            <w:proofErr w:type="spellEnd"/>
          </w:p>
        </w:tc>
        <w:tc>
          <w:tcPr>
            <w:tcW w:w="2085" w:type="dxa"/>
          </w:tcPr>
          <w:p w14:paraId="788BD6AD" w14:textId="302EB855" w:rsidR="008951E9" w:rsidRDefault="002058BF" w:rsidP="00A50758">
            <w:pPr>
              <w:widowControl w:val="0"/>
              <w:pBdr>
                <w:top w:val="nil"/>
                <w:left w:val="nil"/>
                <w:bottom w:val="nil"/>
                <w:right w:val="nil"/>
                <w:between w:val="nil"/>
              </w:pBdr>
              <w:rPr>
                <w:sz w:val="20"/>
                <w:szCs w:val="20"/>
              </w:rPr>
            </w:pPr>
            <w:r>
              <w:rPr>
                <w:sz w:val="20"/>
                <w:szCs w:val="20"/>
              </w:rPr>
              <w:t>The total employment in centers accounts for 32% of regional employment for the base model.</w:t>
            </w:r>
            <w:r w:rsidR="009750FA">
              <w:rPr>
                <w:sz w:val="20"/>
                <w:szCs w:val="20"/>
              </w:rPr>
              <w:t xml:space="preserve"> </w:t>
            </w:r>
          </w:p>
          <w:p w14:paraId="0B6256F8" w14:textId="77777777" w:rsidR="00582188" w:rsidRDefault="00582188" w:rsidP="00A50758">
            <w:pPr>
              <w:widowControl w:val="0"/>
              <w:pBdr>
                <w:top w:val="nil"/>
                <w:left w:val="nil"/>
                <w:bottom w:val="nil"/>
                <w:right w:val="nil"/>
                <w:between w:val="nil"/>
              </w:pBdr>
              <w:rPr>
                <w:sz w:val="20"/>
                <w:szCs w:val="20"/>
              </w:rPr>
            </w:pPr>
          </w:p>
          <w:p w14:paraId="00000037" w14:textId="208A6686" w:rsidR="00582188" w:rsidRDefault="00582188" w:rsidP="00A50758">
            <w:pPr>
              <w:widowControl w:val="0"/>
              <w:pBdr>
                <w:top w:val="nil"/>
                <w:left w:val="nil"/>
                <w:bottom w:val="nil"/>
                <w:right w:val="nil"/>
                <w:between w:val="nil"/>
              </w:pBdr>
              <w:rPr>
                <w:sz w:val="20"/>
                <w:szCs w:val="20"/>
              </w:rPr>
            </w:pPr>
          </w:p>
        </w:tc>
      </w:tr>
      <w:tr w:rsidR="008951E9" w14:paraId="1518B29F" w14:textId="77777777" w:rsidTr="00A24BC6">
        <w:trPr>
          <w:trHeight w:val="713"/>
        </w:trPr>
        <w:tc>
          <w:tcPr>
            <w:tcW w:w="2955" w:type="dxa"/>
          </w:tcPr>
          <w:p w14:paraId="00000038" w14:textId="77777777" w:rsidR="008951E9" w:rsidRDefault="00406B61">
            <w:pPr>
              <w:rPr>
                <w:sz w:val="20"/>
                <w:szCs w:val="20"/>
              </w:rPr>
            </w:pPr>
            <w:r>
              <w:rPr>
                <w:sz w:val="20"/>
                <w:szCs w:val="20"/>
              </w:rPr>
              <w:t>1c. Unexpected development patterns at the TAZ level</w:t>
            </w:r>
          </w:p>
        </w:tc>
        <w:tc>
          <w:tcPr>
            <w:tcW w:w="5010" w:type="dxa"/>
          </w:tcPr>
          <w:p w14:paraId="00000039" w14:textId="77777777" w:rsidR="008951E9" w:rsidRDefault="00406B61">
            <w:pPr>
              <w:rPr>
                <w:sz w:val="20"/>
                <w:szCs w:val="20"/>
              </w:rPr>
            </w:pPr>
            <w:r>
              <w:rPr>
                <w:sz w:val="20"/>
                <w:szCs w:val="20"/>
              </w:rPr>
              <w:t>Both households and employment changes occur simultaneously.</w:t>
            </w:r>
          </w:p>
          <w:p w14:paraId="0000003A" w14:textId="77777777" w:rsidR="008951E9" w:rsidRDefault="00406B61">
            <w:pPr>
              <w:rPr>
                <w:sz w:val="20"/>
                <w:szCs w:val="20"/>
              </w:rPr>
            </w:pPr>
            <w:r>
              <w:rPr>
                <w:sz w:val="20"/>
                <w:szCs w:val="20"/>
              </w:rPr>
              <w:t xml:space="preserve">Combine scenarios 1a and 1b such that both changes in place. </w:t>
            </w:r>
          </w:p>
        </w:tc>
        <w:tc>
          <w:tcPr>
            <w:tcW w:w="1875" w:type="dxa"/>
          </w:tcPr>
          <w:p w14:paraId="0000003B" w14:textId="0E217439" w:rsidR="008951E9" w:rsidRDefault="009E0386">
            <w:pPr>
              <w:widowControl w:val="0"/>
              <w:pBdr>
                <w:top w:val="nil"/>
                <w:left w:val="nil"/>
                <w:bottom w:val="nil"/>
                <w:right w:val="nil"/>
                <w:between w:val="nil"/>
              </w:pBdr>
              <w:rPr>
                <w:sz w:val="20"/>
                <w:szCs w:val="20"/>
              </w:rPr>
            </w:pPr>
            <w:r>
              <w:rPr>
                <w:sz w:val="20"/>
                <w:szCs w:val="20"/>
              </w:rPr>
              <w:t>bzone_dwelling_units.csv, bzone_employment.csv</w:t>
            </w:r>
          </w:p>
        </w:tc>
        <w:tc>
          <w:tcPr>
            <w:tcW w:w="1470" w:type="dxa"/>
          </w:tcPr>
          <w:p w14:paraId="0000003C" w14:textId="77777777" w:rsidR="008951E9" w:rsidRDefault="008951E9">
            <w:pPr>
              <w:widowControl w:val="0"/>
              <w:pBdr>
                <w:top w:val="nil"/>
                <w:left w:val="nil"/>
                <w:bottom w:val="nil"/>
                <w:right w:val="nil"/>
                <w:between w:val="nil"/>
              </w:pBdr>
              <w:jc w:val="center"/>
              <w:rPr>
                <w:sz w:val="20"/>
                <w:szCs w:val="20"/>
              </w:rPr>
            </w:pPr>
          </w:p>
        </w:tc>
        <w:tc>
          <w:tcPr>
            <w:tcW w:w="2085" w:type="dxa"/>
          </w:tcPr>
          <w:p w14:paraId="0000003D" w14:textId="4CC2BB22" w:rsidR="008951E9" w:rsidRDefault="009E0386" w:rsidP="009E0386">
            <w:pPr>
              <w:widowControl w:val="0"/>
              <w:pBdr>
                <w:top w:val="nil"/>
                <w:left w:val="nil"/>
                <w:bottom w:val="nil"/>
                <w:right w:val="nil"/>
                <w:between w:val="nil"/>
              </w:pBdr>
              <w:rPr>
                <w:sz w:val="20"/>
                <w:szCs w:val="20"/>
              </w:rPr>
            </w:pPr>
            <w:r>
              <w:rPr>
                <w:sz w:val="20"/>
                <w:szCs w:val="20"/>
              </w:rPr>
              <w:t xml:space="preserve">No need for bzone level data modification. </w:t>
            </w:r>
          </w:p>
        </w:tc>
      </w:tr>
      <w:tr w:rsidR="008951E9" w14:paraId="6F8940AC" w14:textId="77777777" w:rsidTr="00A24BC6">
        <w:tc>
          <w:tcPr>
            <w:tcW w:w="2955" w:type="dxa"/>
          </w:tcPr>
          <w:p w14:paraId="0000003E" w14:textId="0987F5D9" w:rsidR="008951E9" w:rsidRDefault="00406B61">
            <w:pPr>
              <w:rPr>
                <w:sz w:val="16"/>
                <w:szCs w:val="16"/>
              </w:rPr>
            </w:pPr>
            <w:r>
              <w:rPr>
                <w:sz w:val="20"/>
                <w:szCs w:val="20"/>
              </w:rPr>
              <w:t xml:space="preserve">2a. </w:t>
            </w:r>
            <w:r w:rsidR="00FF56DD">
              <w:rPr>
                <w:sz w:val="20"/>
                <w:szCs w:val="20"/>
              </w:rPr>
              <w:t xml:space="preserve">Increase the households and group quarters population </w:t>
            </w:r>
          </w:p>
        </w:tc>
        <w:tc>
          <w:tcPr>
            <w:tcW w:w="5010" w:type="dxa"/>
          </w:tcPr>
          <w:p w14:paraId="0000003F" w14:textId="77777777" w:rsidR="008951E9" w:rsidRDefault="00406B61">
            <w:pPr>
              <w:rPr>
                <w:sz w:val="20"/>
                <w:szCs w:val="20"/>
              </w:rPr>
            </w:pPr>
            <w:r>
              <w:rPr>
                <w:sz w:val="20"/>
                <w:szCs w:val="20"/>
              </w:rPr>
              <w:t>Change population growth in certain county/city so that they are above/below current forecast level.</w:t>
            </w:r>
          </w:p>
          <w:p w14:paraId="00000040" w14:textId="62CCE874" w:rsidR="008951E9" w:rsidRDefault="00406B61">
            <w:pPr>
              <w:rPr>
                <w:sz w:val="20"/>
                <w:szCs w:val="20"/>
              </w:rPr>
            </w:pPr>
            <w:r>
              <w:rPr>
                <w:sz w:val="20"/>
                <w:szCs w:val="20"/>
              </w:rPr>
              <w:t>Increase the household population and group quarters population</w:t>
            </w:r>
            <w:r w:rsidR="00652BEC">
              <w:rPr>
                <w:sz w:val="20"/>
                <w:szCs w:val="20"/>
              </w:rPr>
              <w:t xml:space="preserve"> </w:t>
            </w:r>
            <w:r>
              <w:rPr>
                <w:sz w:val="20"/>
                <w:szCs w:val="20"/>
              </w:rPr>
              <w:t>by 1</w:t>
            </w:r>
            <w:r w:rsidR="00652BEC">
              <w:rPr>
                <w:sz w:val="20"/>
                <w:szCs w:val="20"/>
              </w:rPr>
              <w:t>5</w:t>
            </w:r>
            <w:r>
              <w:rPr>
                <w:sz w:val="20"/>
                <w:szCs w:val="20"/>
              </w:rPr>
              <w:t xml:space="preserve">% for certain </w:t>
            </w:r>
            <w:proofErr w:type="spellStart"/>
            <w:r>
              <w:rPr>
                <w:sz w:val="20"/>
                <w:szCs w:val="20"/>
              </w:rPr>
              <w:t>Azone</w:t>
            </w:r>
            <w:proofErr w:type="spellEnd"/>
            <w:r>
              <w:rPr>
                <w:sz w:val="20"/>
                <w:szCs w:val="20"/>
              </w:rPr>
              <w:t xml:space="preserve"> </w:t>
            </w:r>
            <w:r w:rsidR="00652BEC">
              <w:rPr>
                <w:sz w:val="20"/>
                <w:szCs w:val="20"/>
              </w:rPr>
              <w:t xml:space="preserve">(Waller, Liberty) </w:t>
            </w:r>
            <w:r>
              <w:rPr>
                <w:sz w:val="20"/>
                <w:szCs w:val="20"/>
              </w:rPr>
              <w:t>levels and then increase the number of</w:t>
            </w:r>
            <w:r w:rsidR="005F3EF2">
              <w:rPr>
                <w:sz w:val="20"/>
                <w:szCs w:val="20"/>
              </w:rPr>
              <w:t xml:space="preserve"> households</w:t>
            </w:r>
            <w:r>
              <w:rPr>
                <w:sz w:val="20"/>
                <w:szCs w:val="20"/>
              </w:rPr>
              <w:t xml:space="preserve"> by </w:t>
            </w:r>
            <w:r w:rsidR="005F3EF2">
              <w:rPr>
                <w:sz w:val="20"/>
                <w:szCs w:val="20"/>
              </w:rPr>
              <w:t>5</w:t>
            </w:r>
            <w:r>
              <w:rPr>
                <w:sz w:val="20"/>
                <w:szCs w:val="20"/>
              </w:rPr>
              <w:t xml:space="preserve">% at the Bzone level for the same </w:t>
            </w:r>
            <w:proofErr w:type="spellStart"/>
            <w:r>
              <w:rPr>
                <w:sz w:val="20"/>
                <w:szCs w:val="20"/>
              </w:rPr>
              <w:t>Azone</w:t>
            </w:r>
            <w:proofErr w:type="spellEnd"/>
            <w:r w:rsidR="005F3EF2">
              <w:rPr>
                <w:sz w:val="20"/>
                <w:szCs w:val="20"/>
              </w:rPr>
              <w:t xml:space="preserve"> (Waller and Liberty)</w:t>
            </w:r>
            <w:r>
              <w:rPr>
                <w:sz w:val="20"/>
                <w:szCs w:val="20"/>
              </w:rPr>
              <w:t xml:space="preserve">.  Do this for the year 2045 only.  </w:t>
            </w:r>
          </w:p>
        </w:tc>
        <w:tc>
          <w:tcPr>
            <w:tcW w:w="1875" w:type="dxa"/>
            <w:vMerge w:val="restart"/>
          </w:tcPr>
          <w:p w14:paraId="00000041" w14:textId="77777777" w:rsidR="008951E9" w:rsidRDefault="00406B61">
            <w:pPr>
              <w:rPr>
                <w:sz w:val="20"/>
                <w:szCs w:val="20"/>
              </w:rPr>
            </w:pPr>
            <w:r>
              <w:rPr>
                <w:sz w:val="20"/>
                <w:szCs w:val="20"/>
              </w:rPr>
              <w:t>azone_hh_pop_by_age.csv</w:t>
            </w:r>
          </w:p>
          <w:p w14:paraId="00000042" w14:textId="01E5C8D8" w:rsidR="008951E9" w:rsidRDefault="00406B61">
            <w:pPr>
              <w:shd w:val="clear" w:color="auto" w:fill="FFFFFF"/>
              <w:spacing w:before="340" w:line="312" w:lineRule="auto"/>
              <w:rPr>
                <w:sz w:val="20"/>
                <w:szCs w:val="20"/>
              </w:rPr>
            </w:pPr>
            <w:r>
              <w:rPr>
                <w:sz w:val="20"/>
                <w:szCs w:val="20"/>
              </w:rPr>
              <w:t>azone_gq_pop_by_age.csv</w:t>
            </w:r>
          </w:p>
          <w:p w14:paraId="6756AB1B" w14:textId="1AA04CEE" w:rsidR="005F3EF2" w:rsidRDefault="005F3EF2">
            <w:pPr>
              <w:shd w:val="clear" w:color="auto" w:fill="FFFFFF"/>
              <w:spacing w:before="340" w:line="312" w:lineRule="auto"/>
              <w:rPr>
                <w:sz w:val="20"/>
                <w:szCs w:val="20"/>
              </w:rPr>
            </w:pPr>
            <w:r>
              <w:rPr>
                <w:sz w:val="20"/>
                <w:szCs w:val="20"/>
              </w:rPr>
              <w:t>bzone_dwelling_units.csv</w:t>
            </w:r>
          </w:p>
          <w:p w14:paraId="00000043" w14:textId="77777777" w:rsidR="008951E9" w:rsidRDefault="00406B61">
            <w:pPr>
              <w:shd w:val="clear" w:color="auto" w:fill="FFFFFF"/>
              <w:spacing w:before="340" w:line="312" w:lineRule="auto"/>
              <w:rPr>
                <w:sz w:val="20"/>
                <w:szCs w:val="20"/>
              </w:rPr>
            </w:pPr>
            <w:r>
              <w:rPr>
                <w:sz w:val="20"/>
                <w:szCs w:val="20"/>
              </w:rPr>
              <w:t>bzone_employment.csv</w:t>
            </w:r>
          </w:p>
          <w:p w14:paraId="00000044" w14:textId="77777777" w:rsidR="008951E9" w:rsidRDefault="008951E9">
            <w:pPr>
              <w:rPr>
                <w:sz w:val="20"/>
                <w:szCs w:val="20"/>
              </w:rPr>
            </w:pPr>
          </w:p>
          <w:p w14:paraId="00000045" w14:textId="77777777" w:rsidR="008951E9" w:rsidRDefault="008951E9">
            <w:pPr>
              <w:rPr>
                <w:sz w:val="20"/>
                <w:szCs w:val="20"/>
              </w:rPr>
            </w:pPr>
          </w:p>
        </w:tc>
        <w:tc>
          <w:tcPr>
            <w:tcW w:w="1470" w:type="dxa"/>
          </w:tcPr>
          <w:p w14:paraId="00000046" w14:textId="77777777" w:rsidR="008951E9" w:rsidRDefault="008951E9">
            <w:pPr>
              <w:jc w:val="center"/>
              <w:rPr>
                <w:sz w:val="20"/>
                <w:szCs w:val="20"/>
              </w:rPr>
            </w:pPr>
          </w:p>
        </w:tc>
        <w:tc>
          <w:tcPr>
            <w:tcW w:w="2085" w:type="dxa"/>
          </w:tcPr>
          <w:p w14:paraId="00000047" w14:textId="77777777" w:rsidR="008951E9" w:rsidRDefault="008951E9">
            <w:pPr>
              <w:jc w:val="center"/>
              <w:rPr>
                <w:sz w:val="20"/>
                <w:szCs w:val="20"/>
              </w:rPr>
            </w:pPr>
          </w:p>
        </w:tc>
      </w:tr>
      <w:tr w:rsidR="00FF56DD" w14:paraId="7F82E830" w14:textId="77777777" w:rsidTr="00A24BC6">
        <w:tc>
          <w:tcPr>
            <w:tcW w:w="2955" w:type="dxa"/>
          </w:tcPr>
          <w:p w14:paraId="00000049" w14:textId="54E9BB7D" w:rsidR="00FF56DD" w:rsidRDefault="00FF56DD" w:rsidP="00FF56DD">
            <w:pPr>
              <w:rPr>
                <w:sz w:val="20"/>
                <w:szCs w:val="20"/>
              </w:rPr>
            </w:pPr>
            <w:r>
              <w:rPr>
                <w:sz w:val="20"/>
                <w:szCs w:val="20"/>
              </w:rPr>
              <w:t>2b. Increase the employment by 1</w:t>
            </w:r>
            <w:r w:rsidR="00D83E41">
              <w:rPr>
                <w:sz w:val="20"/>
                <w:szCs w:val="20"/>
              </w:rPr>
              <w:t>0</w:t>
            </w:r>
            <w:r>
              <w:rPr>
                <w:sz w:val="20"/>
                <w:szCs w:val="20"/>
              </w:rPr>
              <w:t xml:space="preserve">% at the Bzone level (there is no corresponding </w:t>
            </w:r>
            <w:proofErr w:type="spellStart"/>
            <w:r>
              <w:rPr>
                <w:sz w:val="20"/>
                <w:szCs w:val="20"/>
              </w:rPr>
              <w:t>Azone</w:t>
            </w:r>
            <w:proofErr w:type="spellEnd"/>
            <w:r>
              <w:rPr>
                <w:sz w:val="20"/>
                <w:szCs w:val="20"/>
              </w:rPr>
              <w:t xml:space="preserve"> employment) for corresponding </w:t>
            </w:r>
            <w:proofErr w:type="spellStart"/>
            <w:r>
              <w:rPr>
                <w:sz w:val="20"/>
                <w:szCs w:val="20"/>
              </w:rPr>
              <w:t>Azone</w:t>
            </w:r>
            <w:proofErr w:type="spellEnd"/>
            <w:r>
              <w:rPr>
                <w:sz w:val="20"/>
                <w:szCs w:val="20"/>
              </w:rPr>
              <w:t xml:space="preserve"> from 2a.  Stored in Folder 2b.</w:t>
            </w:r>
          </w:p>
        </w:tc>
        <w:tc>
          <w:tcPr>
            <w:tcW w:w="5010" w:type="dxa"/>
          </w:tcPr>
          <w:p w14:paraId="0000004A" w14:textId="1B6E9B5F" w:rsidR="00FF56DD" w:rsidRDefault="00FF56DD" w:rsidP="00FF56DD">
            <w:pPr>
              <w:rPr>
                <w:sz w:val="20"/>
                <w:szCs w:val="20"/>
              </w:rPr>
            </w:pPr>
            <w:r>
              <w:rPr>
                <w:sz w:val="20"/>
                <w:szCs w:val="20"/>
              </w:rPr>
              <w:t xml:space="preserve">Change employment in selected </w:t>
            </w:r>
            <w:r w:rsidR="00144A85">
              <w:rPr>
                <w:sz w:val="20"/>
                <w:szCs w:val="20"/>
              </w:rPr>
              <w:t xml:space="preserve">2a </w:t>
            </w:r>
            <w:proofErr w:type="spellStart"/>
            <w:r w:rsidR="00144A85">
              <w:rPr>
                <w:sz w:val="20"/>
                <w:szCs w:val="20"/>
              </w:rPr>
              <w:t>Azone</w:t>
            </w:r>
            <w:proofErr w:type="spellEnd"/>
            <w:r>
              <w:rPr>
                <w:sz w:val="20"/>
                <w:szCs w:val="20"/>
              </w:rPr>
              <w:t>.</w:t>
            </w:r>
          </w:p>
          <w:p w14:paraId="0000004B" w14:textId="3A783D60" w:rsidR="00FF56DD" w:rsidRDefault="00FF56DD" w:rsidP="00FF56DD">
            <w:pPr>
              <w:rPr>
                <w:sz w:val="20"/>
                <w:szCs w:val="20"/>
              </w:rPr>
            </w:pPr>
            <w:r>
              <w:rPr>
                <w:sz w:val="20"/>
                <w:szCs w:val="20"/>
              </w:rPr>
              <w:t>Increase the employment by 1</w:t>
            </w:r>
            <w:r w:rsidR="00144A85">
              <w:rPr>
                <w:sz w:val="20"/>
                <w:szCs w:val="20"/>
              </w:rPr>
              <w:t>0</w:t>
            </w:r>
            <w:r>
              <w:rPr>
                <w:sz w:val="20"/>
                <w:szCs w:val="20"/>
              </w:rPr>
              <w:t xml:space="preserve">% at the Bzone level (there is no corresponding </w:t>
            </w:r>
            <w:proofErr w:type="spellStart"/>
            <w:r>
              <w:rPr>
                <w:sz w:val="20"/>
                <w:szCs w:val="20"/>
              </w:rPr>
              <w:t>Azone</w:t>
            </w:r>
            <w:proofErr w:type="spellEnd"/>
            <w:r>
              <w:rPr>
                <w:sz w:val="20"/>
                <w:szCs w:val="20"/>
              </w:rPr>
              <w:t xml:space="preserve"> employment) for corresponding </w:t>
            </w:r>
            <w:proofErr w:type="spellStart"/>
            <w:r>
              <w:rPr>
                <w:sz w:val="20"/>
                <w:szCs w:val="20"/>
              </w:rPr>
              <w:t>Azone</w:t>
            </w:r>
            <w:proofErr w:type="spellEnd"/>
            <w:r w:rsidR="006E3702">
              <w:rPr>
                <w:sz w:val="20"/>
                <w:szCs w:val="20"/>
              </w:rPr>
              <w:t xml:space="preserve"> (Liberty and Chambers County)</w:t>
            </w:r>
            <w:r>
              <w:rPr>
                <w:sz w:val="20"/>
                <w:szCs w:val="20"/>
              </w:rPr>
              <w:t xml:space="preserve"> from 2a.  </w:t>
            </w:r>
            <w:r w:rsidR="00160353">
              <w:rPr>
                <w:sz w:val="20"/>
                <w:szCs w:val="20"/>
              </w:rPr>
              <w:t xml:space="preserve">Do this for the year 2045 only. </w:t>
            </w:r>
          </w:p>
        </w:tc>
        <w:tc>
          <w:tcPr>
            <w:tcW w:w="1875" w:type="dxa"/>
            <w:vMerge/>
          </w:tcPr>
          <w:p w14:paraId="0000004C" w14:textId="77777777" w:rsidR="00FF56DD" w:rsidRDefault="00FF56DD" w:rsidP="00FF56DD">
            <w:pPr>
              <w:widowControl w:val="0"/>
              <w:pBdr>
                <w:top w:val="nil"/>
                <w:left w:val="nil"/>
                <w:bottom w:val="nil"/>
                <w:right w:val="nil"/>
                <w:between w:val="nil"/>
              </w:pBdr>
              <w:rPr>
                <w:sz w:val="20"/>
                <w:szCs w:val="20"/>
              </w:rPr>
            </w:pPr>
          </w:p>
        </w:tc>
        <w:tc>
          <w:tcPr>
            <w:tcW w:w="1470" w:type="dxa"/>
          </w:tcPr>
          <w:p w14:paraId="0000004D" w14:textId="77777777" w:rsidR="00FF56DD" w:rsidRDefault="00FF56DD" w:rsidP="00FF56DD">
            <w:pPr>
              <w:widowControl w:val="0"/>
              <w:pBdr>
                <w:top w:val="nil"/>
                <w:left w:val="nil"/>
                <w:bottom w:val="nil"/>
                <w:right w:val="nil"/>
                <w:between w:val="nil"/>
              </w:pBdr>
              <w:jc w:val="center"/>
              <w:rPr>
                <w:sz w:val="20"/>
                <w:szCs w:val="20"/>
              </w:rPr>
            </w:pPr>
            <w:proofErr w:type="spellStart"/>
            <w:r>
              <w:rPr>
                <w:sz w:val="20"/>
                <w:szCs w:val="20"/>
              </w:rPr>
              <w:t>TotEmp</w:t>
            </w:r>
            <w:proofErr w:type="spellEnd"/>
          </w:p>
        </w:tc>
        <w:tc>
          <w:tcPr>
            <w:tcW w:w="2085" w:type="dxa"/>
          </w:tcPr>
          <w:p w14:paraId="0000004E" w14:textId="77777777" w:rsidR="00FF56DD" w:rsidRDefault="00FF56DD" w:rsidP="00FF56DD">
            <w:pPr>
              <w:widowControl w:val="0"/>
              <w:pBdr>
                <w:top w:val="nil"/>
                <w:left w:val="nil"/>
                <w:bottom w:val="nil"/>
                <w:right w:val="nil"/>
                <w:between w:val="nil"/>
              </w:pBdr>
              <w:jc w:val="center"/>
              <w:rPr>
                <w:sz w:val="20"/>
                <w:szCs w:val="20"/>
              </w:rPr>
            </w:pPr>
          </w:p>
        </w:tc>
      </w:tr>
      <w:tr w:rsidR="00FF56DD" w14:paraId="5C12743E" w14:textId="77777777" w:rsidTr="00A24BC6">
        <w:tc>
          <w:tcPr>
            <w:tcW w:w="2955" w:type="dxa"/>
          </w:tcPr>
          <w:p w14:paraId="0000004F" w14:textId="12E6A439" w:rsidR="00FF56DD" w:rsidRDefault="00FF56DD" w:rsidP="00FF56DD">
            <w:pPr>
              <w:rPr>
                <w:sz w:val="20"/>
                <w:szCs w:val="20"/>
              </w:rPr>
            </w:pPr>
            <w:r>
              <w:rPr>
                <w:sz w:val="20"/>
                <w:szCs w:val="20"/>
              </w:rPr>
              <w:t xml:space="preserve">2c. </w:t>
            </w:r>
            <w:r w:rsidR="00DF1359">
              <w:rPr>
                <w:sz w:val="20"/>
                <w:szCs w:val="20"/>
              </w:rPr>
              <w:t>Combine scenarios 2a and 2b.</w:t>
            </w:r>
          </w:p>
        </w:tc>
        <w:tc>
          <w:tcPr>
            <w:tcW w:w="5010" w:type="dxa"/>
          </w:tcPr>
          <w:p w14:paraId="00000050" w14:textId="77777777" w:rsidR="00FF56DD" w:rsidRDefault="00FF56DD" w:rsidP="00FF56DD">
            <w:pPr>
              <w:rPr>
                <w:sz w:val="20"/>
                <w:szCs w:val="20"/>
              </w:rPr>
            </w:pPr>
            <w:r>
              <w:rPr>
                <w:sz w:val="20"/>
                <w:szCs w:val="20"/>
              </w:rPr>
              <w:t>Both population and employment changes occur at the same time.</w:t>
            </w:r>
          </w:p>
          <w:p w14:paraId="00000051" w14:textId="77777777" w:rsidR="00FF56DD" w:rsidRDefault="00FF56DD" w:rsidP="00FF56DD">
            <w:pPr>
              <w:rPr>
                <w:sz w:val="20"/>
                <w:szCs w:val="20"/>
              </w:rPr>
            </w:pPr>
            <w:r>
              <w:rPr>
                <w:sz w:val="20"/>
                <w:szCs w:val="20"/>
              </w:rPr>
              <w:t>Combine scenarios 2a and 2b.  Again, no separate folder required.</w:t>
            </w:r>
          </w:p>
        </w:tc>
        <w:tc>
          <w:tcPr>
            <w:tcW w:w="1875" w:type="dxa"/>
            <w:vMerge/>
          </w:tcPr>
          <w:p w14:paraId="00000052" w14:textId="77777777" w:rsidR="00FF56DD" w:rsidRDefault="00FF56DD" w:rsidP="00FF56DD">
            <w:pPr>
              <w:widowControl w:val="0"/>
              <w:pBdr>
                <w:top w:val="nil"/>
                <w:left w:val="nil"/>
                <w:bottom w:val="nil"/>
                <w:right w:val="nil"/>
                <w:between w:val="nil"/>
              </w:pBdr>
              <w:rPr>
                <w:sz w:val="20"/>
                <w:szCs w:val="20"/>
              </w:rPr>
            </w:pPr>
          </w:p>
        </w:tc>
        <w:tc>
          <w:tcPr>
            <w:tcW w:w="1470" w:type="dxa"/>
          </w:tcPr>
          <w:p w14:paraId="00000053" w14:textId="77777777" w:rsidR="00FF56DD" w:rsidRDefault="00FF56DD" w:rsidP="00FF56DD">
            <w:pPr>
              <w:widowControl w:val="0"/>
              <w:pBdr>
                <w:top w:val="nil"/>
                <w:left w:val="nil"/>
                <w:bottom w:val="nil"/>
                <w:right w:val="nil"/>
                <w:between w:val="nil"/>
              </w:pBdr>
              <w:jc w:val="center"/>
              <w:rPr>
                <w:sz w:val="20"/>
                <w:szCs w:val="20"/>
              </w:rPr>
            </w:pPr>
          </w:p>
        </w:tc>
        <w:tc>
          <w:tcPr>
            <w:tcW w:w="2085" w:type="dxa"/>
          </w:tcPr>
          <w:p w14:paraId="00000054" w14:textId="77777777" w:rsidR="00FF56DD" w:rsidRDefault="00FF56DD" w:rsidP="00FF56DD">
            <w:pPr>
              <w:widowControl w:val="0"/>
              <w:pBdr>
                <w:top w:val="nil"/>
                <w:left w:val="nil"/>
                <w:bottom w:val="nil"/>
                <w:right w:val="nil"/>
                <w:between w:val="nil"/>
              </w:pBdr>
              <w:jc w:val="center"/>
              <w:rPr>
                <w:sz w:val="20"/>
                <w:szCs w:val="20"/>
              </w:rPr>
            </w:pPr>
          </w:p>
        </w:tc>
      </w:tr>
      <w:tr w:rsidR="00FF56DD" w14:paraId="4B0263A3" w14:textId="77777777" w:rsidTr="00A24BC6">
        <w:tc>
          <w:tcPr>
            <w:tcW w:w="2955" w:type="dxa"/>
          </w:tcPr>
          <w:p w14:paraId="00000055" w14:textId="77777777" w:rsidR="00FF56DD" w:rsidRDefault="00FF56DD" w:rsidP="00FF56DD">
            <w:pPr>
              <w:rPr>
                <w:sz w:val="20"/>
                <w:szCs w:val="20"/>
              </w:rPr>
            </w:pPr>
            <w:r>
              <w:rPr>
                <w:sz w:val="20"/>
                <w:szCs w:val="20"/>
              </w:rPr>
              <w:t>3. Increased telecommuting</w:t>
            </w:r>
          </w:p>
        </w:tc>
        <w:tc>
          <w:tcPr>
            <w:tcW w:w="5010" w:type="dxa"/>
          </w:tcPr>
          <w:p w14:paraId="00000056" w14:textId="26AF225E" w:rsidR="00FF56DD" w:rsidRDefault="00FF56DD" w:rsidP="00FF56DD">
            <w:pPr>
              <w:rPr>
                <w:sz w:val="20"/>
                <w:szCs w:val="20"/>
              </w:rPr>
            </w:pPr>
            <w:r>
              <w:rPr>
                <w:sz w:val="20"/>
                <w:szCs w:val="20"/>
              </w:rPr>
              <w:t xml:space="preserve">Reflect a very small (1.25%) increase in telecommuting by increasing </w:t>
            </w:r>
            <w:proofErr w:type="spellStart"/>
            <w:r>
              <w:rPr>
                <w:sz w:val="20"/>
                <w:szCs w:val="20"/>
              </w:rPr>
              <w:t>EcoProp</w:t>
            </w:r>
            <w:proofErr w:type="spellEnd"/>
            <w:r>
              <w:rPr>
                <w:sz w:val="20"/>
                <w:szCs w:val="20"/>
              </w:rPr>
              <w:t xml:space="preserve"> in bzone_travel_demand_mgt.csv</w:t>
            </w:r>
            <w:r w:rsidR="00230F8E">
              <w:rPr>
                <w:sz w:val="20"/>
                <w:szCs w:val="20"/>
              </w:rPr>
              <w:t xml:space="preserve"> </w:t>
            </w:r>
            <w:r>
              <w:rPr>
                <w:sz w:val="20"/>
                <w:szCs w:val="20"/>
              </w:rPr>
              <w:t>(</w:t>
            </w:r>
            <w:r w:rsidRPr="00A50FFF">
              <w:rPr>
                <w:sz w:val="20"/>
                <w:szCs w:val="20"/>
                <w:highlight w:val="yellow"/>
              </w:rPr>
              <w:t>This 1.25% is the maximum value we can achieve in this</w:t>
            </w:r>
            <w:r>
              <w:rPr>
                <w:sz w:val="20"/>
                <w:szCs w:val="20"/>
              </w:rPr>
              <w:t xml:space="preserve"> </w:t>
            </w:r>
            <w:r w:rsidRPr="00A50FFF">
              <w:rPr>
                <w:sz w:val="20"/>
                <w:szCs w:val="20"/>
                <w:highlight w:val="yellow"/>
              </w:rPr>
              <w:t>manner)</w:t>
            </w:r>
            <w:r w:rsidR="00230F8E" w:rsidRPr="00A50FFF">
              <w:rPr>
                <w:sz w:val="20"/>
                <w:szCs w:val="20"/>
                <w:highlight w:val="yellow"/>
              </w:rPr>
              <w:t>.</w:t>
            </w:r>
            <w:r w:rsidR="00230F8E">
              <w:rPr>
                <w:sz w:val="20"/>
                <w:szCs w:val="20"/>
              </w:rPr>
              <w:t xml:space="preserve"> </w:t>
            </w:r>
            <w:r w:rsidR="00230F8E" w:rsidRPr="005D6139">
              <w:rPr>
                <w:sz w:val="20"/>
                <w:szCs w:val="20"/>
                <w:highlight w:val="yellow"/>
              </w:rPr>
              <w:t>Why?</w:t>
            </w:r>
            <w:r w:rsidR="00A50FFF">
              <w:rPr>
                <w:sz w:val="20"/>
                <w:szCs w:val="20"/>
              </w:rPr>
              <w:t xml:space="preserve"> Increasing </w:t>
            </w:r>
            <w:proofErr w:type="spellStart"/>
            <w:r w:rsidR="00A50FFF">
              <w:rPr>
                <w:sz w:val="20"/>
                <w:szCs w:val="20"/>
              </w:rPr>
              <w:t>EcoProp</w:t>
            </w:r>
            <w:proofErr w:type="spellEnd"/>
            <w:r w:rsidR="00A50FFF">
              <w:rPr>
                <w:sz w:val="20"/>
                <w:szCs w:val="20"/>
              </w:rPr>
              <w:t xml:space="preserve"> in Employment Centers bzone by 20% for CBD, Greenway </w:t>
            </w:r>
            <w:proofErr w:type="gramStart"/>
            <w:r w:rsidR="00A50FFF">
              <w:rPr>
                <w:sz w:val="20"/>
                <w:szCs w:val="20"/>
              </w:rPr>
              <w:t>Plaza</w:t>
            </w:r>
            <w:proofErr w:type="gramEnd"/>
            <w:r w:rsidR="00A50FFF">
              <w:rPr>
                <w:sz w:val="20"/>
                <w:szCs w:val="20"/>
              </w:rPr>
              <w:t xml:space="preserve"> and Energy Corridor. And increasing by 10% for the rest of bzone in Employment Centers. </w:t>
            </w:r>
          </w:p>
        </w:tc>
        <w:tc>
          <w:tcPr>
            <w:tcW w:w="1875" w:type="dxa"/>
          </w:tcPr>
          <w:p w14:paraId="00000057" w14:textId="77777777" w:rsidR="00FF56DD" w:rsidRDefault="00FF56DD" w:rsidP="00FF56DD">
            <w:pPr>
              <w:jc w:val="center"/>
              <w:rPr>
                <w:sz w:val="20"/>
                <w:szCs w:val="20"/>
              </w:rPr>
            </w:pPr>
            <w:r>
              <w:rPr>
                <w:sz w:val="20"/>
                <w:szCs w:val="20"/>
              </w:rPr>
              <w:t>bzone_travel_demand_mgt.csv</w:t>
            </w:r>
          </w:p>
        </w:tc>
        <w:tc>
          <w:tcPr>
            <w:tcW w:w="1470" w:type="dxa"/>
          </w:tcPr>
          <w:p w14:paraId="00000058" w14:textId="77777777" w:rsidR="00FF56DD" w:rsidRDefault="00FF56DD" w:rsidP="00FF56DD">
            <w:pPr>
              <w:rPr>
                <w:sz w:val="20"/>
                <w:szCs w:val="20"/>
              </w:rPr>
            </w:pPr>
            <w:proofErr w:type="spellStart"/>
            <w:r>
              <w:rPr>
                <w:sz w:val="20"/>
                <w:szCs w:val="20"/>
              </w:rPr>
              <w:t>EcoProp</w:t>
            </w:r>
            <w:proofErr w:type="spellEnd"/>
          </w:p>
        </w:tc>
        <w:tc>
          <w:tcPr>
            <w:tcW w:w="2085" w:type="dxa"/>
          </w:tcPr>
          <w:p w14:paraId="00000059" w14:textId="3604A94F" w:rsidR="00FF56DD" w:rsidRDefault="00FF56DD" w:rsidP="00FF56DD">
            <w:pPr>
              <w:jc w:val="center"/>
              <w:rPr>
                <w:sz w:val="20"/>
                <w:szCs w:val="20"/>
              </w:rPr>
            </w:pPr>
            <w:r>
              <w:rPr>
                <w:sz w:val="20"/>
                <w:szCs w:val="20"/>
              </w:rPr>
              <w:t>VDOT tested 3 methods for telework but preferred this method.</w:t>
            </w:r>
            <w:r w:rsidR="005E03C1">
              <w:rPr>
                <w:sz w:val="20"/>
                <w:szCs w:val="20"/>
              </w:rPr>
              <w:t xml:space="preserve"> </w:t>
            </w:r>
            <w:r w:rsidR="005E03C1" w:rsidRPr="005E03C1">
              <w:rPr>
                <w:sz w:val="20"/>
                <w:szCs w:val="20"/>
                <w:highlight w:val="yellow"/>
              </w:rPr>
              <w:t>Why?</w:t>
            </w:r>
          </w:p>
        </w:tc>
      </w:tr>
      <w:tr w:rsidR="00FF56DD" w14:paraId="35B53A62" w14:textId="77777777" w:rsidTr="00A24BC6">
        <w:trPr>
          <w:trHeight w:val="3184"/>
        </w:trPr>
        <w:tc>
          <w:tcPr>
            <w:tcW w:w="2955" w:type="dxa"/>
          </w:tcPr>
          <w:p w14:paraId="0000005A" w14:textId="77777777" w:rsidR="00FF56DD" w:rsidRDefault="00FF56DD" w:rsidP="00FF56DD">
            <w:pPr>
              <w:rPr>
                <w:sz w:val="20"/>
                <w:szCs w:val="20"/>
              </w:rPr>
            </w:pPr>
            <w:r>
              <w:rPr>
                <w:sz w:val="20"/>
                <w:szCs w:val="20"/>
              </w:rPr>
              <w:lastRenderedPageBreak/>
              <w:t xml:space="preserve">4a. Changes in household size </w:t>
            </w:r>
          </w:p>
        </w:tc>
        <w:tc>
          <w:tcPr>
            <w:tcW w:w="5010" w:type="dxa"/>
          </w:tcPr>
          <w:p w14:paraId="0D9FD6AD" w14:textId="4ACF98EE" w:rsidR="0017232A" w:rsidRDefault="00FF56DD" w:rsidP="00FF56DD">
            <w:pPr>
              <w:rPr>
                <w:sz w:val="20"/>
                <w:szCs w:val="20"/>
              </w:rPr>
            </w:pPr>
            <w:r>
              <w:rPr>
                <w:sz w:val="20"/>
                <w:szCs w:val="20"/>
              </w:rPr>
              <w:t>Alter the number of one-person households (Prop1PerHh) and the average household size (</w:t>
            </w:r>
            <w:proofErr w:type="spellStart"/>
            <w:r>
              <w:rPr>
                <w:sz w:val="20"/>
                <w:szCs w:val="20"/>
              </w:rPr>
              <w:t>AveHhSize</w:t>
            </w:r>
            <w:proofErr w:type="spellEnd"/>
            <w:r>
              <w:rPr>
                <w:sz w:val="20"/>
                <w:szCs w:val="20"/>
              </w:rPr>
              <w:t xml:space="preserve">) in </w:t>
            </w:r>
            <w:r>
              <w:rPr>
                <w:sz w:val="20"/>
                <w:szCs w:val="20"/>
                <w:highlight w:val="yellow"/>
              </w:rPr>
              <w:t>azone_hhsize_targets.csv</w:t>
            </w:r>
            <w:r>
              <w:rPr>
                <w:sz w:val="20"/>
                <w:szCs w:val="20"/>
              </w:rPr>
              <w:t>) to simulate larger and smaller families</w:t>
            </w:r>
            <w:r w:rsidR="00E372C1">
              <w:rPr>
                <w:sz w:val="20"/>
                <w:szCs w:val="20"/>
              </w:rPr>
              <w:t>.</w:t>
            </w:r>
            <w:r>
              <w:rPr>
                <w:sz w:val="20"/>
                <w:szCs w:val="20"/>
              </w:rPr>
              <w:t xml:space="preserve"> </w:t>
            </w:r>
            <w:r w:rsidR="001141EE">
              <w:rPr>
                <w:sz w:val="20"/>
                <w:szCs w:val="20"/>
              </w:rPr>
              <w:t xml:space="preserve">Reduce the proportion of 1-person households by </w:t>
            </w:r>
            <w:r w:rsidR="00C30B8D">
              <w:rPr>
                <w:sz w:val="20"/>
                <w:szCs w:val="20"/>
              </w:rPr>
              <w:t xml:space="preserve">10%, increase the average household size by 10%. </w:t>
            </w:r>
            <w:r w:rsidR="00772BE8">
              <w:rPr>
                <w:sz w:val="20"/>
                <w:szCs w:val="20"/>
              </w:rPr>
              <w:t>Do it for year 2045 only.</w:t>
            </w:r>
          </w:p>
          <w:p w14:paraId="7B04FBAF" w14:textId="1C0CFDBD" w:rsidR="005D6139" w:rsidRDefault="00FF56DD" w:rsidP="00FF56DD">
            <w:pPr>
              <w:rPr>
                <w:sz w:val="20"/>
                <w:szCs w:val="20"/>
              </w:rPr>
            </w:pPr>
            <w:r>
              <w:rPr>
                <w:sz w:val="20"/>
                <w:szCs w:val="20"/>
              </w:rPr>
              <w:t xml:space="preserve">Also alter the number of children in </w:t>
            </w:r>
            <w:r>
              <w:rPr>
                <w:sz w:val="20"/>
                <w:szCs w:val="20"/>
                <w:highlight w:val="yellow"/>
              </w:rPr>
              <w:t>azone_hh_pop_by_age.cs</w:t>
            </w:r>
            <w:r>
              <w:rPr>
                <w:sz w:val="20"/>
                <w:szCs w:val="20"/>
              </w:rPr>
              <w:t xml:space="preserve">v (Age0to14 and Age15to19). </w:t>
            </w:r>
            <w:r w:rsidR="00C30B8D">
              <w:rPr>
                <w:sz w:val="20"/>
                <w:szCs w:val="20"/>
              </w:rPr>
              <w:t xml:space="preserve">Increase the number of children in group “Age0to14” and “Age15to19” by 10% each. </w:t>
            </w:r>
            <w:r w:rsidR="00772BE8">
              <w:rPr>
                <w:sz w:val="20"/>
                <w:szCs w:val="20"/>
              </w:rPr>
              <w:t>Do it for year 2045 only.</w:t>
            </w:r>
          </w:p>
          <w:p w14:paraId="0000005C" w14:textId="6169DF76" w:rsidR="005D6139" w:rsidRDefault="005D6139" w:rsidP="00FF56DD">
            <w:pPr>
              <w:rPr>
                <w:sz w:val="20"/>
                <w:szCs w:val="20"/>
              </w:rPr>
            </w:pPr>
          </w:p>
        </w:tc>
        <w:tc>
          <w:tcPr>
            <w:tcW w:w="1875" w:type="dxa"/>
          </w:tcPr>
          <w:p w14:paraId="0000005D" w14:textId="77777777" w:rsidR="00FF56DD" w:rsidRDefault="00FF56DD" w:rsidP="00FF56DD">
            <w:pPr>
              <w:rPr>
                <w:sz w:val="20"/>
                <w:szCs w:val="20"/>
              </w:rPr>
            </w:pPr>
            <w:r>
              <w:rPr>
                <w:sz w:val="20"/>
                <w:szCs w:val="20"/>
              </w:rPr>
              <w:t>azone_hhsize_targets.csv</w:t>
            </w:r>
          </w:p>
          <w:p w14:paraId="0000005E" w14:textId="77777777" w:rsidR="00FF56DD" w:rsidRDefault="00FF56DD" w:rsidP="00FF56DD">
            <w:pPr>
              <w:rPr>
                <w:sz w:val="20"/>
                <w:szCs w:val="20"/>
              </w:rPr>
            </w:pPr>
            <w:r>
              <w:rPr>
                <w:sz w:val="20"/>
                <w:szCs w:val="20"/>
              </w:rPr>
              <w:t>azone_hh_pop_by_age.csv</w:t>
            </w:r>
          </w:p>
        </w:tc>
        <w:tc>
          <w:tcPr>
            <w:tcW w:w="1470" w:type="dxa"/>
          </w:tcPr>
          <w:p w14:paraId="0000005F" w14:textId="77777777" w:rsidR="00FF56DD" w:rsidRDefault="00FF56DD" w:rsidP="00FF56DD">
            <w:pPr>
              <w:rPr>
                <w:sz w:val="20"/>
                <w:szCs w:val="20"/>
              </w:rPr>
            </w:pPr>
            <w:r>
              <w:rPr>
                <w:sz w:val="20"/>
                <w:szCs w:val="20"/>
              </w:rPr>
              <w:t>Prop1PerHh</w:t>
            </w:r>
          </w:p>
          <w:p w14:paraId="00000060" w14:textId="77777777" w:rsidR="00FF56DD" w:rsidRDefault="00FF56DD" w:rsidP="00FF56DD">
            <w:pPr>
              <w:rPr>
                <w:sz w:val="20"/>
                <w:szCs w:val="20"/>
              </w:rPr>
            </w:pPr>
            <w:proofErr w:type="spellStart"/>
            <w:r>
              <w:rPr>
                <w:sz w:val="20"/>
                <w:szCs w:val="20"/>
              </w:rPr>
              <w:t>AveHhSize</w:t>
            </w:r>
            <w:proofErr w:type="spellEnd"/>
          </w:p>
          <w:p w14:paraId="00000061" w14:textId="77777777" w:rsidR="00FF56DD" w:rsidRDefault="00FF56DD" w:rsidP="00FF56DD">
            <w:pPr>
              <w:rPr>
                <w:sz w:val="20"/>
                <w:szCs w:val="20"/>
              </w:rPr>
            </w:pPr>
            <w:r>
              <w:rPr>
                <w:sz w:val="20"/>
                <w:szCs w:val="20"/>
              </w:rPr>
              <w:t>Age0to14</w:t>
            </w:r>
          </w:p>
          <w:p w14:paraId="00000062" w14:textId="77777777" w:rsidR="00FF56DD" w:rsidRDefault="00FF56DD" w:rsidP="00FF56DD">
            <w:pPr>
              <w:rPr>
                <w:sz w:val="20"/>
                <w:szCs w:val="20"/>
              </w:rPr>
            </w:pPr>
            <w:r>
              <w:rPr>
                <w:sz w:val="20"/>
                <w:szCs w:val="20"/>
              </w:rPr>
              <w:t>Age15to19</w:t>
            </w:r>
          </w:p>
        </w:tc>
        <w:tc>
          <w:tcPr>
            <w:tcW w:w="2085" w:type="dxa"/>
          </w:tcPr>
          <w:p w14:paraId="00000063" w14:textId="77777777" w:rsidR="00FF56DD" w:rsidRDefault="00FF56DD" w:rsidP="00FF56DD">
            <w:pPr>
              <w:jc w:val="center"/>
              <w:rPr>
                <w:sz w:val="20"/>
                <w:szCs w:val="20"/>
              </w:rPr>
            </w:pPr>
          </w:p>
        </w:tc>
      </w:tr>
      <w:tr w:rsidR="00FF56DD" w14:paraId="048D9719" w14:textId="77777777" w:rsidTr="00A24BC6">
        <w:tc>
          <w:tcPr>
            <w:tcW w:w="2955" w:type="dxa"/>
          </w:tcPr>
          <w:p w14:paraId="00000064" w14:textId="227EB400" w:rsidR="00FF56DD" w:rsidRDefault="00FF56DD" w:rsidP="00FF56DD">
            <w:pPr>
              <w:rPr>
                <w:sz w:val="20"/>
                <w:szCs w:val="20"/>
              </w:rPr>
            </w:pPr>
            <w:r>
              <w:rPr>
                <w:sz w:val="20"/>
                <w:szCs w:val="20"/>
              </w:rPr>
              <w:t xml:space="preserve">4b. Changes in household size </w:t>
            </w:r>
          </w:p>
          <w:p w14:paraId="67CF10BE" w14:textId="77777777" w:rsidR="005D6139" w:rsidRDefault="005D6139" w:rsidP="00FF56DD">
            <w:pPr>
              <w:rPr>
                <w:sz w:val="20"/>
                <w:szCs w:val="20"/>
              </w:rPr>
            </w:pPr>
          </w:p>
          <w:p w14:paraId="00000065" w14:textId="77777777" w:rsidR="00FF56DD" w:rsidRDefault="00FF56DD" w:rsidP="00FF56DD">
            <w:pPr>
              <w:rPr>
                <w:sz w:val="20"/>
                <w:szCs w:val="20"/>
              </w:rPr>
            </w:pPr>
          </w:p>
        </w:tc>
        <w:tc>
          <w:tcPr>
            <w:tcW w:w="5010" w:type="dxa"/>
          </w:tcPr>
          <w:p w14:paraId="00000066" w14:textId="74801905" w:rsidR="00FF56DD" w:rsidRDefault="00FF56DD" w:rsidP="00FF56DD">
            <w:pPr>
              <w:rPr>
                <w:sz w:val="20"/>
                <w:szCs w:val="20"/>
              </w:rPr>
            </w:pPr>
            <w:r>
              <w:rPr>
                <w:sz w:val="20"/>
                <w:szCs w:val="20"/>
              </w:rPr>
              <w:t xml:space="preserve">Make no changes except explicitly allow aging in place (relative to the base scenario) by increasing the Age65Plus attribute (in </w:t>
            </w:r>
            <w:r>
              <w:rPr>
                <w:i/>
                <w:sz w:val="20"/>
                <w:szCs w:val="20"/>
              </w:rPr>
              <w:t>azone_hh_pop_by_age.csv</w:t>
            </w:r>
            <w:r>
              <w:rPr>
                <w:sz w:val="20"/>
                <w:szCs w:val="20"/>
              </w:rPr>
              <w:t>) and increasing th</w:t>
            </w:r>
            <w:r w:rsidR="00225F10">
              <w:rPr>
                <w:sz w:val="20"/>
                <w:szCs w:val="20"/>
              </w:rPr>
              <w:t>e proportion</w:t>
            </w:r>
            <w:r>
              <w:rPr>
                <w:sz w:val="20"/>
                <w:szCs w:val="20"/>
              </w:rPr>
              <w:t xml:space="preserve"> of</w:t>
            </w:r>
            <w:r w:rsidR="00225F10">
              <w:rPr>
                <w:sz w:val="20"/>
                <w:szCs w:val="20"/>
              </w:rPr>
              <w:t xml:space="preserve"> 1-person</w:t>
            </w:r>
            <w:r>
              <w:rPr>
                <w:sz w:val="20"/>
                <w:szCs w:val="20"/>
              </w:rPr>
              <w:t xml:space="preserve"> households in the file </w:t>
            </w:r>
            <w:r>
              <w:rPr>
                <w:i/>
                <w:sz w:val="20"/>
                <w:szCs w:val="20"/>
              </w:rPr>
              <w:t>azone_hhsize_targets.csv</w:t>
            </w:r>
            <w:r>
              <w:rPr>
                <w:sz w:val="20"/>
                <w:szCs w:val="20"/>
              </w:rPr>
              <w:t>. Presumably seniors who live in institutionalized group quarters (not reflected in VE) now arrive to households.</w:t>
            </w:r>
            <w:r w:rsidR="00D91B39">
              <w:rPr>
                <w:sz w:val="20"/>
                <w:szCs w:val="20"/>
              </w:rPr>
              <w:t xml:space="preserve"> Increase “Age65Plus” in azone_hh_pop_by_age.csv by 10%. And increase the proportion of 1-person households in file</w:t>
            </w:r>
            <w:r w:rsidR="00BA5298">
              <w:rPr>
                <w:sz w:val="20"/>
                <w:szCs w:val="20"/>
              </w:rPr>
              <w:t xml:space="preserve"> </w:t>
            </w:r>
            <w:r w:rsidR="00D91B39">
              <w:rPr>
                <w:sz w:val="20"/>
                <w:szCs w:val="20"/>
              </w:rPr>
              <w:t xml:space="preserve">“azone_hhsize_targets.csv” by 10%. Do it for year 2045 only. </w:t>
            </w:r>
          </w:p>
        </w:tc>
        <w:tc>
          <w:tcPr>
            <w:tcW w:w="1875" w:type="dxa"/>
          </w:tcPr>
          <w:p w14:paraId="00000067" w14:textId="77777777" w:rsidR="00FF56DD" w:rsidRDefault="00FF56DD" w:rsidP="00FF56DD">
            <w:pPr>
              <w:rPr>
                <w:i/>
                <w:sz w:val="20"/>
                <w:szCs w:val="20"/>
              </w:rPr>
            </w:pPr>
            <w:r>
              <w:rPr>
                <w:i/>
                <w:sz w:val="20"/>
                <w:szCs w:val="20"/>
              </w:rPr>
              <w:t>azone_hh_pop_by_age.csv</w:t>
            </w:r>
          </w:p>
          <w:p w14:paraId="00000068" w14:textId="77777777" w:rsidR="00FF56DD" w:rsidRDefault="00FF56DD" w:rsidP="00FF56DD">
            <w:pPr>
              <w:rPr>
                <w:i/>
                <w:sz w:val="20"/>
                <w:szCs w:val="20"/>
              </w:rPr>
            </w:pPr>
            <w:r>
              <w:rPr>
                <w:i/>
                <w:sz w:val="20"/>
                <w:szCs w:val="20"/>
              </w:rPr>
              <w:t>azone_hhsize_targets.csv</w:t>
            </w:r>
          </w:p>
        </w:tc>
        <w:tc>
          <w:tcPr>
            <w:tcW w:w="1470" w:type="dxa"/>
          </w:tcPr>
          <w:p w14:paraId="00000069" w14:textId="77777777" w:rsidR="00FF56DD" w:rsidRDefault="00FF56DD" w:rsidP="00FF56DD">
            <w:pPr>
              <w:rPr>
                <w:sz w:val="20"/>
                <w:szCs w:val="20"/>
              </w:rPr>
            </w:pPr>
            <w:r>
              <w:rPr>
                <w:sz w:val="20"/>
                <w:szCs w:val="20"/>
              </w:rPr>
              <w:t xml:space="preserve">Age65Plus </w:t>
            </w:r>
          </w:p>
        </w:tc>
        <w:tc>
          <w:tcPr>
            <w:tcW w:w="2085" w:type="dxa"/>
          </w:tcPr>
          <w:p w14:paraId="0000006A" w14:textId="77777777" w:rsidR="00FF56DD" w:rsidRDefault="00FF56DD" w:rsidP="00FF56DD">
            <w:pPr>
              <w:jc w:val="center"/>
              <w:rPr>
                <w:sz w:val="20"/>
                <w:szCs w:val="20"/>
              </w:rPr>
            </w:pPr>
          </w:p>
        </w:tc>
      </w:tr>
      <w:tr w:rsidR="00FF56DD" w14:paraId="46EA5739" w14:textId="77777777" w:rsidTr="00A24BC6">
        <w:trPr>
          <w:trHeight w:val="200"/>
        </w:trPr>
        <w:tc>
          <w:tcPr>
            <w:tcW w:w="2955" w:type="dxa"/>
          </w:tcPr>
          <w:p w14:paraId="0000006B" w14:textId="77777777" w:rsidR="00FF56DD" w:rsidRDefault="00FF56DD" w:rsidP="00FF56DD">
            <w:pPr>
              <w:rPr>
                <w:sz w:val="20"/>
                <w:szCs w:val="20"/>
              </w:rPr>
            </w:pPr>
            <w:r>
              <w:rPr>
                <w:sz w:val="20"/>
                <w:szCs w:val="20"/>
              </w:rPr>
              <w:t>5a. Changes in tax policy for transit or highway travel</w:t>
            </w:r>
          </w:p>
        </w:tc>
        <w:tc>
          <w:tcPr>
            <w:tcW w:w="5010" w:type="dxa"/>
          </w:tcPr>
          <w:p w14:paraId="0000006C" w14:textId="77777777" w:rsidR="00FF56DD" w:rsidRDefault="00FF56DD" w:rsidP="00FF56DD">
            <w:pPr>
              <w:rPr>
                <w:sz w:val="20"/>
                <w:szCs w:val="20"/>
              </w:rPr>
            </w:pPr>
            <w:r>
              <w:rPr>
                <w:sz w:val="20"/>
                <w:szCs w:val="20"/>
              </w:rPr>
              <w:t>Increase the fuel tax on vehicles (that use gasoline) in azone_veh_use_taxes.csv</w:t>
            </w:r>
          </w:p>
        </w:tc>
        <w:tc>
          <w:tcPr>
            <w:tcW w:w="1875" w:type="dxa"/>
            <w:vMerge w:val="restart"/>
          </w:tcPr>
          <w:p w14:paraId="0000006D" w14:textId="77777777" w:rsidR="00FF56DD" w:rsidRDefault="00FF56DD" w:rsidP="00FF56DD">
            <w:pPr>
              <w:rPr>
                <w:sz w:val="20"/>
                <w:szCs w:val="20"/>
              </w:rPr>
            </w:pPr>
            <w:r>
              <w:rPr>
                <w:sz w:val="20"/>
                <w:szCs w:val="20"/>
              </w:rPr>
              <w:t>azone_veh_use_taxes.csv</w:t>
            </w:r>
          </w:p>
          <w:p w14:paraId="05ACE7EE" w14:textId="77777777" w:rsidR="00FF56DD" w:rsidRDefault="00FF56DD" w:rsidP="00FF56DD">
            <w:pPr>
              <w:rPr>
                <w:sz w:val="20"/>
                <w:szCs w:val="20"/>
              </w:rPr>
            </w:pPr>
          </w:p>
          <w:p w14:paraId="1CB4DE2F" w14:textId="77777777" w:rsidR="00723547" w:rsidRDefault="00723547" w:rsidP="00FF56DD">
            <w:pPr>
              <w:rPr>
                <w:sz w:val="20"/>
                <w:szCs w:val="20"/>
              </w:rPr>
            </w:pPr>
          </w:p>
          <w:p w14:paraId="13B7E368" w14:textId="77777777" w:rsidR="00723547" w:rsidRDefault="00723547" w:rsidP="00FF56DD">
            <w:pPr>
              <w:rPr>
                <w:sz w:val="20"/>
                <w:szCs w:val="20"/>
              </w:rPr>
            </w:pPr>
          </w:p>
          <w:p w14:paraId="38D47FC2" w14:textId="77777777" w:rsidR="00723547" w:rsidRDefault="00723547" w:rsidP="00723547">
            <w:pPr>
              <w:rPr>
                <w:sz w:val="20"/>
                <w:szCs w:val="20"/>
              </w:rPr>
            </w:pPr>
          </w:p>
          <w:p w14:paraId="7AADD7C5" w14:textId="49B17B50" w:rsidR="00723547" w:rsidRDefault="00723547" w:rsidP="00723547">
            <w:pPr>
              <w:rPr>
                <w:sz w:val="20"/>
                <w:szCs w:val="20"/>
              </w:rPr>
            </w:pPr>
            <w:r w:rsidRPr="00723547">
              <w:rPr>
                <w:sz w:val="20"/>
                <w:szCs w:val="20"/>
                <w:highlight w:val="yellow"/>
              </w:rPr>
              <w:t>mare_transit_service.csv</w:t>
            </w:r>
          </w:p>
          <w:p w14:paraId="42ACCFD4" w14:textId="77777777" w:rsidR="00723547" w:rsidRDefault="00723547" w:rsidP="00FF56DD">
            <w:pPr>
              <w:rPr>
                <w:sz w:val="20"/>
                <w:szCs w:val="20"/>
              </w:rPr>
            </w:pPr>
          </w:p>
          <w:p w14:paraId="0000006E" w14:textId="109BC3A2" w:rsidR="00723547" w:rsidRDefault="00723547" w:rsidP="00FF56DD">
            <w:pPr>
              <w:rPr>
                <w:sz w:val="20"/>
                <w:szCs w:val="20"/>
              </w:rPr>
            </w:pPr>
          </w:p>
        </w:tc>
        <w:tc>
          <w:tcPr>
            <w:tcW w:w="1470" w:type="dxa"/>
          </w:tcPr>
          <w:p w14:paraId="0000006F" w14:textId="77777777" w:rsidR="00FF56DD" w:rsidRDefault="00FF56DD" w:rsidP="00FF56DD">
            <w:pPr>
              <w:jc w:val="center"/>
              <w:rPr>
                <w:sz w:val="20"/>
                <w:szCs w:val="20"/>
              </w:rPr>
            </w:pPr>
            <w:r>
              <w:rPr>
                <w:sz w:val="20"/>
                <w:szCs w:val="20"/>
              </w:rPr>
              <w:t>VehOwnFlatRateFee.2015</w:t>
            </w:r>
          </w:p>
          <w:p w14:paraId="00000070" w14:textId="77777777" w:rsidR="00FF56DD" w:rsidRDefault="00FF56DD" w:rsidP="00FF56DD">
            <w:pPr>
              <w:jc w:val="center"/>
              <w:rPr>
                <w:sz w:val="20"/>
                <w:szCs w:val="20"/>
              </w:rPr>
            </w:pPr>
            <w:proofErr w:type="spellStart"/>
            <w:r>
              <w:rPr>
                <w:sz w:val="20"/>
                <w:szCs w:val="20"/>
              </w:rPr>
              <w:t>VehOwnAdValoremTax</w:t>
            </w:r>
            <w:proofErr w:type="spellEnd"/>
          </w:p>
        </w:tc>
        <w:tc>
          <w:tcPr>
            <w:tcW w:w="2085" w:type="dxa"/>
          </w:tcPr>
          <w:p w14:paraId="00000071" w14:textId="77777777" w:rsidR="00FF56DD" w:rsidRDefault="00FF56DD" w:rsidP="00FF56DD">
            <w:pPr>
              <w:jc w:val="center"/>
              <w:rPr>
                <w:sz w:val="20"/>
                <w:szCs w:val="20"/>
                <w:highlight w:val="yellow"/>
              </w:rPr>
            </w:pPr>
          </w:p>
        </w:tc>
      </w:tr>
      <w:tr w:rsidR="00FF56DD" w14:paraId="272107F1" w14:textId="77777777" w:rsidTr="00A24BC6">
        <w:trPr>
          <w:trHeight w:val="200"/>
        </w:trPr>
        <w:tc>
          <w:tcPr>
            <w:tcW w:w="2955" w:type="dxa"/>
          </w:tcPr>
          <w:p w14:paraId="00000072" w14:textId="77777777" w:rsidR="00FF56DD" w:rsidRDefault="00FF56DD" w:rsidP="00FF56DD">
            <w:pPr>
              <w:rPr>
                <w:sz w:val="20"/>
                <w:szCs w:val="20"/>
              </w:rPr>
            </w:pPr>
            <w:r>
              <w:rPr>
                <w:sz w:val="20"/>
                <w:szCs w:val="20"/>
              </w:rPr>
              <w:t>5b. Changes in tax policy for transit or highway travel</w:t>
            </w:r>
          </w:p>
        </w:tc>
        <w:tc>
          <w:tcPr>
            <w:tcW w:w="5010" w:type="dxa"/>
          </w:tcPr>
          <w:p w14:paraId="00000073" w14:textId="4910513C" w:rsidR="00FF56DD" w:rsidRDefault="00FF56DD" w:rsidP="00FF56DD">
            <w:pPr>
              <w:rPr>
                <w:sz w:val="20"/>
                <w:szCs w:val="20"/>
              </w:rPr>
            </w:pPr>
            <w:r>
              <w:rPr>
                <w:sz w:val="20"/>
                <w:szCs w:val="20"/>
              </w:rPr>
              <w:t>Keep scenario 5a but now attain the same tax for electric vehicles</w:t>
            </w:r>
            <w:r w:rsidR="005D4A07">
              <w:rPr>
                <w:sz w:val="20"/>
                <w:szCs w:val="20"/>
              </w:rPr>
              <w:t xml:space="preserve"> (</w:t>
            </w:r>
            <w:r w:rsidR="005D4A07" w:rsidRPr="005D4A07">
              <w:rPr>
                <w:sz w:val="20"/>
                <w:szCs w:val="20"/>
                <w:highlight w:val="yellow"/>
              </w:rPr>
              <w:t>plug-in hybrid?)</w:t>
            </w:r>
          </w:p>
        </w:tc>
        <w:tc>
          <w:tcPr>
            <w:tcW w:w="1875" w:type="dxa"/>
            <w:vMerge/>
          </w:tcPr>
          <w:p w14:paraId="00000074" w14:textId="77777777" w:rsidR="00FF56DD" w:rsidRDefault="00FF56DD" w:rsidP="00FF56DD">
            <w:pPr>
              <w:widowControl w:val="0"/>
              <w:pBdr>
                <w:top w:val="nil"/>
                <w:left w:val="nil"/>
                <w:bottom w:val="nil"/>
                <w:right w:val="nil"/>
                <w:between w:val="nil"/>
              </w:pBdr>
              <w:rPr>
                <w:sz w:val="20"/>
                <w:szCs w:val="20"/>
              </w:rPr>
            </w:pPr>
          </w:p>
        </w:tc>
        <w:tc>
          <w:tcPr>
            <w:tcW w:w="1470" w:type="dxa"/>
          </w:tcPr>
          <w:p w14:paraId="00000075" w14:textId="77777777" w:rsidR="00FF56DD" w:rsidRDefault="00FF56DD" w:rsidP="00FF56DD">
            <w:pPr>
              <w:widowControl w:val="0"/>
              <w:pBdr>
                <w:top w:val="nil"/>
                <w:left w:val="nil"/>
                <w:bottom w:val="nil"/>
                <w:right w:val="nil"/>
                <w:between w:val="nil"/>
              </w:pBdr>
              <w:jc w:val="center"/>
              <w:rPr>
                <w:sz w:val="20"/>
                <w:szCs w:val="20"/>
                <w:highlight w:val="yellow"/>
              </w:rPr>
            </w:pPr>
          </w:p>
        </w:tc>
        <w:tc>
          <w:tcPr>
            <w:tcW w:w="2085" w:type="dxa"/>
          </w:tcPr>
          <w:p w14:paraId="00000076" w14:textId="77777777" w:rsidR="00FF56DD" w:rsidRDefault="00FF56DD" w:rsidP="00FF56DD">
            <w:pPr>
              <w:widowControl w:val="0"/>
              <w:pBdr>
                <w:top w:val="nil"/>
                <w:left w:val="nil"/>
                <w:bottom w:val="nil"/>
                <w:right w:val="nil"/>
                <w:between w:val="nil"/>
              </w:pBdr>
              <w:jc w:val="center"/>
              <w:rPr>
                <w:sz w:val="20"/>
                <w:szCs w:val="20"/>
                <w:highlight w:val="yellow"/>
              </w:rPr>
            </w:pPr>
          </w:p>
        </w:tc>
      </w:tr>
      <w:tr w:rsidR="00FF56DD" w14:paraId="393A610C" w14:textId="77777777" w:rsidTr="00A24BC6">
        <w:trPr>
          <w:trHeight w:val="200"/>
        </w:trPr>
        <w:tc>
          <w:tcPr>
            <w:tcW w:w="2955" w:type="dxa"/>
          </w:tcPr>
          <w:p w14:paraId="00000077" w14:textId="77777777" w:rsidR="00FF56DD" w:rsidRDefault="00FF56DD" w:rsidP="00FF56DD">
            <w:pPr>
              <w:rPr>
                <w:sz w:val="20"/>
                <w:szCs w:val="20"/>
              </w:rPr>
            </w:pPr>
            <w:r>
              <w:rPr>
                <w:sz w:val="20"/>
                <w:szCs w:val="20"/>
              </w:rPr>
              <w:t>5c. Changes in tax policy for transit or highway travel</w:t>
            </w:r>
          </w:p>
        </w:tc>
        <w:tc>
          <w:tcPr>
            <w:tcW w:w="5010" w:type="dxa"/>
          </w:tcPr>
          <w:p w14:paraId="00000078" w14:textId="77777777" w:rsidR="00FF56DD" w:rsidRDefault="00FF56DD" w:rsidP="00FF56DD">
            <w:pPr>
              <w:rPr>
                <w:sz w:val="20"/>
                <w:szCs w:val="20"/>
              </w:rPr>
            </w:pPr>
            <w:r>
              <w:rPr>
                <w:sz w:val="20"/>
                <w:szCs w:val="20"/>
              </w:rPr>
              <w:t>Retain scenarios 5a and 5b, calculate the increase in transit supply that could be provided by this tax increase, and increase transit supply accordingly.</w:t>
            </w:r>
          </w:p>
        </w:tc>
        <w:tc>
          <w:tcPr>
            <w:tcW w:w="1875" w:type="dxa"/>
            <w:vMerge/>
          </w:tcPr>
          <w:p w14:paraId="00000079" w14:textId="77777777" w:rsidR="00FF56DD" w:rsidRDefault="00FF56DD" w:rsidP="00FF56DD">
            <w:pPr>
              <w:widowControl w:val="0"/>
              <w:pBdr>
                <w:top w:val="nil"/>
                <w:left w:val="nil"/>
                <w:bottom w:val="nil"/>
                <w:right w:val="nil"/>
                <w:between w:val="nil"/>
              </w:pBdr>
              <w:rPr>
                <w:sz w:val="20"/>
                <w:szCs w:val="20"/>
              </w:rPr>
            </w:pPr>
          </w:p>
        </w:tc>
        <w:tc>
          <w:tcPr>
            <w:tcW w:w="1470" w:type="dxa"/>
          </w:tcPr>
          <w:p w14:paraId="0000007A" w14:textId="77777777" w:rsidR="00FF56DD" w:rsidRDefault="00FF56DD" w:rsidP="00FF56DD">
            <w:pPr>
              <w:widowControl w:val="0"/>
              <w:pBdr>
                <w:top w:val="nil"/>
                <w:left w:val="nil"/>
                <w:bottom w:val="nil"/>
                <w:right w:val="nil"/>
                <w:between w:val="nil"/>
              </w:pBdr>
              <w:jc w:val="center"/>
              <w:rPr>
                <w:sz w:val="20"/>
                <w:szCs w:val="20"/>
                <w:highlight w:val="yellow"/>
              </w:rPr>
            </w:pPr>
          </w:p>
        </w:tc>
        <w:tc>
          <w:tcPr>
            <w:tcW w:w="2085" w:type="dxa"/>
          </w:tcPr>
          <w:p w14:paraId="0000007B" w14:textId="77777777" w:rsidR="00FF56DD" w:rsidRDefault="00FF56DD" w:rsidP="00FF56DD">
            <w:pPr>
              <w:widowControl w:val="0"/>
              <w:pBdr>
                <w:top w:val="nil"/>
                <w:left w:val="nil"/>
                <w:bottom w:val="nil"/>
                <w:right w:val="nil"/>
                <w:between w:val="nil"/>
              </w:pBdr>
              <w:jc w:val="center"/>
              <w:rPr>
                <w:sz w:val="20"/>
                <w:szCs w:val="20"/>
                <w:highlight w:val="yellow"/>
              </w:rPr>
            </w:pPr>
          </w:p>
        </w:tc>
      </w:tr>
      <w:tr w:rsidR="00FF56DD" w14:paraId="0FA9E18E" w14:textId="77777777" w:rsidTr="00A24BC6">
        <w:trPr>
          <w:trHeight w:val="200"/>
        </w:trPr>
        <w:tc>
          <w:tcPr>
            <w:tcW w:w="2955" w:type="dxa"/>
          </w:tcPr>
          <w:p w14:paraId="0000007C" w14:textId="77777777" w:rsidR="00FF56DD" w:rsidRDefault="00FF56DD" w:rsidP="00FF56DD">
            <w:pPr>
              <w:rPr>
                <w:sz w:val="20"/>
                <w:szCs w:val="20"/>
              </w:rPr>
            </w:pPr>
            <w:r>
              <w:rPr>
                <w:sz w:val="20"/>
                <w:szCs w:val="20"/>
              </w:rPr>
              <w:t>5d. Changes in tax policy for transit or highway travel</w:t>
            </w:r>
          </w:p>
        </w:tc>
        <w:tc>
          <w:tcPr>
            <w:tcW w:w="5010" w:type="dxa"/>
          </w:tcPr>
          <w:p w14:paraId="0000007D" w14:textId="1D838975" w:rsidR="00FF56DD" w:rsidRDefault="00FF56DD" w:rsidP="00FF56DD">
            <w:pPr>
              <w:rPr>
                <w:sz w:val="20"/>
                <w:szCs w:val="20"/>
              </w:rPr>
            </w:pPr>
            <w:r>
              <w:rPr>
                <w:sz w:val="20"/>
                <w:szCs w:val="20"/>
              </w:rPr>
              <w:t>Same as 5c except don’t divert funds to transit</w:t>
            </w:r>
            <w:r w:rsidR="00723547">
              <w:rPr>
                <w:sz w:val="20"/>
                <w:szCs w:val="20"/>
              </w:rPr>
              <w:t xml:space="preserve">. </w:t>
            </w:r>
          </w:p>
        </w:tc>
        <w:tc>
          <w:tcPr>
            <w:tcW w:w="1875" w:type="dxa"/>
            <w:vMerge/>
          </w:tcPr>
          <w:p w14:paraId="0000007E" w14:textId="77777777" w:rsidR="00FF56DD" w:rsidRDefault="00FF56DD" w:rsidP="00FF56DD">
            <w:pPr>
              <w:widowControl w:val="0"/>
              <w:pBdr>
                <w:top w:val="nil"/>
                <w:left w:val="nil"/>
                <w:bottom w:val="nil"/>
                <w:right w:val="nil"/>
                <w:between w:val="nil"/>
              </w:pBdr>
              <w:rPr>
                <w:sz w:val="20"/>
                <w:szCs w:val="20"/>
              </w:rPr>
            </w:pPr>
          </w:p>
        </w:tc>
        <w:tc>
          <w:tcPr>
            <w:tcW w:w="1470" w:type="dxa"/>
          </w:tcPr>
          <w:p w14:paraId="0000007F" w14:textId="77777777" w:rsidR="00FF56DD" w:rsidRDefault="00FF56DD" w:rsidP="00FF56DD">
            <w:pPr>
              <w:jc w:val="center"/>
              <w:rPr>
                <w:sz w:val="20"/>
                <w:szCs w:val="20"/>
              </w:rPr>
            </w:pPr>
          </w:p>
        </w:tc>
        <w:tc>
          <w:tcPr>
            <w:tcW w:w="2085" w:type="dxa"/>
          </w:tcPr>
          <w:p w14:paraId="00000080" w14:textId="77777777" w:rsidR="00FF56DD" w:rsidRDefault="00FF56DD" w:rsidP="00FF56DD">
            <w:pPr>
              <w:jc w:val="center"/>
              <w:rPr>
                <w:sz w:val="20"/>
                <w:szCs w:val="20"/>
              </w:rPr>
            </w:pPr>
          </w:p>
        </w:tc>
      </w:tr>
      <w:tr w:rsidR="00FF56DD" w14:paraId="033EB00C" w14:textId="77777777" w:rsidTr="00A24BC6">
        <w:tc>
          <w:tcPr>
            <w:tcW w:w="2955" w:type="dxa"/>
          </w:tcPr>
          <w:p w14:paraId="00000081" w14:textId="77777777" w:rsidR="00FF56DD" w:rsidRDefault="00FF56DD" w:rsidP="00FF56DD">
            <w:pPr>
              <w:rPr>
                <w:sz w:val="20"/>
                <w:szCs w:val="20"/>
              </w:rPr>
            </w:pPr>
            <w:r>
              <w:rPr>
                <w:sz w:val="20"/>
                <w:szCs w:val="20"/>
              </w:rPr>
              <w:t>6a. Increases in transit or freeway supply</w:t>
            </w:r>
          </w:p>
        </w:tc>
        <w:tc>
          <w:tcPr>
            <w:tcW w:w="5010" w:type="dxa"/>
          </w:tcPr>
          <w:p w14:paraId="00000082" w14:textId="529BC729" w:rsidR="00FF56DD" w:rsidRDefault="00FF56DD" w:rsidP="00FF56DD">
            <w:pPr>
              <w:rPr>
                <w:sz w:val="20"/>
                <w:szCs w:val="20"/>
              </w:rPr>
            </w:pPr>
            <w:r>
              <w:rPr>
                <w:sz w:val="20"/>
                <w:szCs w:val="20"/>
              </w:rPr>
              <w:t>Increase in transit density.</w:t>
            </w:r>
            <w:r w:rsidR="00274539">
              <w:rPr>
                <w:sz w:val="20"/>
                <w:szCs w:val="20"/>
              </w:rPr>
              <w:t xml:space="preserve"> Increase D4c (</w:t>
            </w:r>
            <w:r w:rsidR="00274539" w:rsidRPr="00274539">
              <w:rPr>
                <w:sz w:val="20"/>
                <w:szCs w:val="20"/>
              </w:rPr>
              <w:t>Aggregate frequency of transit service within 0.25 miles of block group boundary per hour during evening peak period)</w:t>
            </w:r>
            <w:r w:rsidR="00274539">
              <w:rPr>
                <w:sz w:val="20"/>
                <w:szCs w:val="20"/>
              </w:rPr>
              <w:t xml:space="preserve"> for EJ zone</w:t>
            </w:r>
            <w:r w:rsidR="00BF29CF">
              <w:rPr>
                <w:sz w:val="20"/>
                <w:szCs w:val="20"/>
              </w:rPr>
              <w:t>s</w:t>
            </w:r>
            <w:r w:rsidR="00274539">
              <w:rPr>
                <w:sz w:val="20"/>
                <w:szCs w:val="20"/>
              </w:rPr>
              <w:t xml:space="preserve"> by 20%.</w:t>
            </w:r>
            <w:r w:rsidR="00BF29CF">
              <w:rPr>
                <w:sz w:val="20"/>
                <w:szCs w:val="20"/>
              </w:rPr>
              <w:t xml:space="preserve"> </w:t>
            </w:r>
          </w:p>
          <w:p w14:paraId="00000083" w14:textId="41C23AAE" w:rsidR="00FF56DD" w:rsidRDefault="00FF56DD" w:rsidP="00FF56DD">
            <w:pPr>
              <w:rPr>
                <w:sz w:val="20"/>
                <w:szCs w:val="20"/>
              </w:rPr>
            </w:pPr>
          </w:p>
        </w:tc>
        <w:tc>
          <w:tcPr>
            <w:tcW w:w="1875" w:type="dxa"/>
          </w:tcPr>
          <w:p w14:paraId="00000084" w14:textId="77777777" w:rsidR="00FF56DD" w:rsidRDefault="00FF56DD" w:rsidP="00FF56DD">
            <w:pPr>
              <w:rPr>
                <w:sz w:val="20"/>
                <w:szCs w:val="20"/>
              </w:rPr>
            </w:pPr>
            <w:r>
              <w:rPr>
                <w:sz w:val="20"/>
                <w:szCs w:val="20"/>
              </w:rPr>
              <w:lastRenderedPageBreak/>
              <w:t>bzone_transit_service.csv</w:t>
            </w:r>
          </w:p>
        </w:tc>
        <w:tc>
          <w:tcPr>
            <w:tcW w:w="1470" w:type="dxa"/>
          </w:tcPr>
          <w:p w14:paraId="00000085" w14:textId="77777777" w:rsidR="00FF56DD" w:rsidRDefault="00FF56DD" w:rsidP="00FF56DD">
            <w:pPr>
              <w:jc w:val="center"/>
              <w:rPr>
                <w:sz w:val="20"/>
                <w:szCs w:val="20"/>
              </w:rPr>
            </w:pPr>
          </w:p>
        </w:tc>
        <w:tc>
          <w:tcPr>
            <w:tcW w:w="2085" w:type="dxa"/>
          </w:tcPr>
          <w:p w14:paraId="00000086" w14:textId="2756756E" w:rsidR="00FF56DD" w:rsidRDefault="00941173" w:rsidP="00941173">
            <w:pPr>
              <w:rPr>
                <w:sz w:val="20"/>
                <w:szCs w:val="20"/>
              </w:rPr>
            </w:pPr>
            <w:r>
              <w:rPr>
                <w:sz w:val="20"/>
                <w:szCs w:val="20"/>
              </w:rPr>
              <w:t xml:space="preserve">EJ data is from 2019 ACS. </w:t>
            </w:r>
          </w:p>
        </w:tc>
      </w:tr>
      <w:tr w:rsidR="00FF56DD" w14:paraId="16F47D53" w14:textId="77777777" w:rsidTr="00A24BC6">
        <w:tc>
          <w:tcPr>
            <w:tcW w:w="2955" w:type="dxa"/>
          </w:tcPr>
          <w:p w14:paraId="00000087" w14:textId="3EB9A9D3" w:rsidR="00FF56DD" w:rsidRDefault="00FF56DD" w:rsidP="00FF56DD">
            <w:pPr>
              <w:rPr>
                <w:sz w:val="20"/>
                <w:szCs w:val="20"/>
              </w:rPr>
            </w:pPr>
            <w:r>
              <w:rPr>
                <w:sz w:val="20"/>
                <w:szCs w:val="20"/>
              </w:rPr>
              <w:t>6b</w:t>
            </w:r>
            <w:r w:rsidR="00BF29CF">
              <w:rPr>
                <w:sz w:val="20"/>
                <w:szCs w:val="20"/>
              </w:rPr>
              <w:t>.</w:t>
            </w:r>
            <w:r>
              <w:rPr>
                <w:sz w:val="20"/>
                <w:szCs w:val="20"/>
              </w:rPr>
              <w:t xml:space="preserve"> Increases in transit</w:t>
            </w:r>
            <w:r w:rsidR="00BF29CF">
              <w:rPr>
                <w:sz w:val="20"/>
                <w:szCs w:val="20"/>
              </w:rPr>
              <w:t xml:space="preserve"> service.</w:t>
            </w:r>
          </w:p>
          <w:p w14:paraId="235D510C" w14:textId="77777777" w:rsidR="00BF29CF" w:rsidRDefault="00BF29CF" w:rsidP="00FF56DD">
            <w:pPr>
              <w:rPr>
                <w:sz w:val="20"/>
                <w:szCs w:val="20"/>
              </w:rPr>
            </w:pPr>
          </w:p>
          <w:p w14:paraId="6E16F400" w14:textId="77777777" w:rsidR="00FA7BDC" w:rsidRDefault="00FA7BDC" w:rsidP="00FF56DD">
            <w:pPr>
              <w:rPr>
                <w:sz w:val="20"/>
                <w:szCs w:val="20"/>
              </w:rPr>
            </w:pPr>
          </w:p>
          <w:p w14:paraId="00000088" w14:textId="04F2B503" w:rsidR="00FF56DD" w:rsidRDefault="00BF29CF" w:rsidP="00FF56DD">
            <w:pPr>
              <w:rPr>
                <w:sz w:val="20"/>
                <w:szCs w:val="20"/>
              </w:rPr>
            </w:pPr>
            <w:r>
              <w:rPr>
                <w:sz w:val="20"/>
                <w:szCs w:val="20"/>
              </w:rPr>
              <w:t xml:space="preserve">6c. Increase in freeway supply. </w:t>
            </w:r>
          </w:p>
        </w:tc>
        <w:tc>
          <w:tcPr>
            <w:tcW w:w="5010" w:type="dxa"/>
          </w:tcPr>
          <w:p w14:paraId="1CA46925" w14:textId="33A649D9" w:rsidR="00E26F42" w:rsidRDefault="00E26F42" w:rsidP="00FF56DD">
            <w:pPr>
              <w:rPr>
                <w:sz w:val="20"/>
                <w:szCs w:val="20"/>
              </w:rPr>
            </w:pPr>
            <w:r>
              <w:rPr>
                <w:sz w:val="20"/>
                <w:szCs w:val="20"/>
              </w:rPr>
              <w:t>Increase various transit service by type (demand response, standard bus, commuter rail, etc.) revenue miles</w:t>
            </w:r>
          </w:p>
          <w:p w14:paraId="0000008B" w14:textId="41635732" w:rsidR="00FF56DD" w:rsidRDefault="00FF56DD" w:rsidP="00FF56DD">
            <w:pPr>
              <w:rPr>
                <w:sz w:val="20"/>
                <w:szCs w:val="20"/>
              </w:rPr>
            </w:pPr>
            <w:r>
              <w:rPr>
                <w:sz w:val="20"/>
                <w:szCs w:val="20"/>
              </w:rPr>
              <w:t>Increases in freeway lane miles.</w:t>
            </w:r>
            <w:r w:rsidR="00E26F42">
              <w:rPr>
                <w:sz w:val="20"/>
                <w:szCs w:val="20"/>
              </w:rPr>
              <w:t xml:space="preserve"> </w:t>
            </w:r>
            <w:r>
              <w:rPr>
                <w:sz w:val="20"/>
                <w:szCs w:val="20"/>
              </w:rPr>
              <w:t xml:space="preserve">Increase roadway supply miles. </w:t>
            </w:r>
            <w:proofErr w:type="gramStart"/>
            <w:r>
              <w:rPr>
                <w:sz w:val="20"/>
                <w:szCs w:val="20"/>
              </w:rPr>
              <w:t>Unfor</w:t>
            </w:r>
            <w:r w:rsidR="00AD2FFB">
              <w:rPr>
                <w:sz w:val="20"/>
                <w:szCs w:val="20"/>
              </w:rPr>
              <w:t>tunately</w:t>
            </w:r>
            <w:proofErr w:type="gramEnd"/>
            <w:r>
              <w:rPr>
                <w:sz w:val="20"/>
                <w:szCs w:val="20"/>
              </w:rPr>
              <w:t xml:space="preserve"> it seems we can only do this at the </w:t>
            </w:r>
            <w:proofErr w:type="spellStart"/>
            <w:r>
              <w:rPr>
                <w:sz w:val="20"/>
                <w:szCs w:val="20"/>
                <w:highlight w:val="yellow"/>
              </w:rPr>
              <w:t>Marea</w:t>
            </w:r>
            <w:proofErr w:type="spellEnd"/>
            <w:r>
              <w:rPr>
                <w:sz w:val="20"/>
                <w:szCs w:val="20"/>
                <w:highlight w:val="yellow"/>
              </w:rPr>
              <w:t xml:space="preserve"> level</w:t>
            </w:r>
            <w:r>
              <w:rPr>
                <w:sz w:val="20"/>
                <w:szCs w:val="20"/>
              </w:rPr>
              <w:t xml:space="preserve">—not the </w:t>
            </w:r>
            <w:proofErr w:type="spellStart"/>
            <w:r>
              <w:rPr>
                <w:sz w:val="20"/>
                <w:szCs w:val="20"/>
              </w:rPr>
              <w:t>Azone</w:t>
            </w:r>
            <w:proofErr w:type="spellEnd"/>
            <w:r>
              <w:rPr>
                <w:sz w:val="20"/>
                <w:szCs w:val="20"/>
              </w:rPr>
              <w:t xml:space="preserve"> or Bzone level.  (See </w:t>
            </w:r>
            <w:proofErr w:type="spellStart"/>
            <w:r>
              <w:rPr>
                <w:sz w:val="20"/>
                <w:szCs w:val="20"/>
              </w:rPr>
              <w:t>FwyLaneMi</w:t>
            </w:r>
            <w:proofErr w:type="spellEnd"/>
            <w:r>
              <w:rPr>
                <w:sz w:val="20"/>
                <w:szCs w:val="20"/>
              </w:rPr>
              <w:t xml:space="preserve"> within marea_lane_miles.csv)</w:t>
            </w:r>
            <w:r w:rsidR="00E26F42">
              <w:rPr>
                <w:sz w:val="20"/>
                <w:szCs w:val="20"/>
              </w:rPr>
              <w:t xml:space="preserve">. </w:t>
            </w:r>
            <w:r>
              <w:rPr>
                <w:sz w:val="20"/>
                <w:szCs w:val="20"/>
              </w:rPr>
              <w:t>Do this for arterials, then freeways</w:t>
            </w:r>
          </w:p>
        </w:tc>
        <w:tc>
          <w:tcPr>
            <w:tcW w:w="1875" w:type="dxa"/>
          </w:tcPr>
          <w:p w14:paraId="5E82BECE" w14:textId="09C1CB88" w:rsidR="00E26F42" w:rsidRDefault="00E26F42" w:rsidP="00FF56DD">
            <w:pPr>
              <w:rPr>
                <w:sz w:val="20"/>
                <w:szCs w:val="20"/>
              </w:rPr>
            </w:pPr>
            <w:r>
              <w:rPr>
                <w:sz w:val="20"/>
                <w:szCs w:val="20"/>
              </w:rPr>
              <w:t>mare_transit_service.csv</w:t>
            </w:r>
          </w:p>
          <w:p w14:paraId="76764B4C" w14:textId="77777777" w:rsidR="00E26F42" w:rsidRDefault="00E26F42" w:rsidP="00FF56DD">
            <w:pPr>
              <w:rPr>
                <w:sz w:val="20"/>
                <w:szCs w:val="20"/>
              </w:rPr>
            </w:pPr>
          </w:p>
          <w:p w14:paraId="0000008C" w14:textId="58DECD49" w:rsidR="00FF56DD" w:rsidRDefault="00FF56DD" w:rsidP="00FF56DD">
            <w:pPr>
              <w:rPr>
                <w:sz w:val="20"/>
                <w:szCs w:val="20"/>
              </w:rPr>
            </w:pPr>
            <w:r>
              <w:rPr>
                <w:sz w:val="20"/>
                <w:szCs w:val="20"/>
              </w:rPr>
              <w:t>marea_lane_miles.csv</w:t>
            </w:r>
          </w:p>
        </w:tc>
        <w:tc>
          <w:tcPr>
            <w:tcW w:w="1470" w:type="dxa"/>
          </w:tcPr>
          <w:p w14:paraId="0000008D" w14:textId="77777777" w:rsidR="00FF56DD" w:rsidRDefault="00FF56DD" w:rsidP="00FF56DD">
            <w:pPr>
              <w:rPr>
                <w:sz w:val="20"/>
                <w:szCs w:val="20"/>
              </w:rPr>
            </w:pPr>
            <w:proofErr w:type="spellStart"/>
            <w:r>
              <w:rPr>
                <w:sz w:val="20"/>
                <w:szCs w:val="20"/>
              </w:rPr>
              <w:t>FwyLaneMi</w:t>
            </w:r>
            <w:proofErr w:type="spellEnd"/>
            <w:r>
              <w:rPr>
                <w:sz w:val="20"/>
                <w:szCs w:val="20"/>
              </w:rPr>
              <w:t xml:space="preserve"> </w:t>
            </w:r>
          </w:p>
        </w:tc>
        <w:tc>
          <w:tcPr>
            <w:tcW w:w="2085" w:type="dxa"/>
          </w:tcPr>
          <w:p w14:paraId="0000008E" w14:textId="77777777" w:rsidR="00FF56DD" w:rsidRDefault="00FF56DD" w:rsidP="00FF56DD">
            <w:pPr>
              <w:jc w:val="center"/>
              <w:rPr>
                <w:sz w:val="20"/>
                <w:szCs w:val="20"/>
              </w:rPr>
            </w:pPr>
          </w:p>
        </w:tc>
      </w:tr>
      <w:tr w:rsidR="00FF56DD" w14:paraId="3C789F23" w14:textId="77777777" w:rsidTr="00A24BC6">
        <w:tc>
          <w:tcPr>
            <w:tcW w:w="2955" w:type="dxa"/>
          </w:tcPr>
          <w:p w14:paraId="0000008F" w14:textId="77777777" w:rsidR="00FF56DD" w:rsidRDefault="00FF56DD" w:rsidP="00FF56DD">
            <w:pPr>
              <w:rPr>
                <w:sz w:val="20"/>
                <w:szCs w:val="20"/>
              </w:rPr>
            </w:pPr>
            <w:r>
              <w:rPr>
                <w:sz w:val="20"/>
                <w:szCs w:val="20"/>
              </w:rPr>
              <w:t>7a. Reductions or increases in fuel costs (highway, transit)</w:t>
            </w:r>
          </w:p>
        </w:tc>
        <w:tc>
          <w:tcPr>
            <w:tcW w:w="5010" w:type="dxa"/>
          </w:tcPr>
          <w:p w14:paraId="00000090" w14:textId="77777777" w:rsidR="00FF56DD" w:rsidRDefault="00FF56DD" w:rsidP="00FF56DD">
            <w:pPr>
              <w:rPr>
                <w:sz w:val="20"/>
                <w:szCs w:val="20"/>
              </w:rPr>
            </w:pPr>
            <w:r>
              <w:rPr>
                <w:sz w:val="20"/>
                <w:szCs w:val="20"/>
              </w:rPr>
              <w:t xml:space="preserve">Alter </w:t>
            </w:r>
            <w:proofErr w:type="spellStart"/>
            <w:r>
              <w:rPr>
                <w:sz w:val="20"/>
                <w:szCs w:val="20"/>
              </w:rPr>
              <w:t>FuelCost</w:t>
            </w:r>
            <w:proofErr w:type="spellEnd"/>
            <w:r>
              <w:rPr>
                <w:sz w:val="20"/>
                <w:szCs w:val="20"/>
              </w:rPr>
              <w:t xml:space="preserve"> and </w:t>
            </w:r>
            <w:proofErr w:type="spellStart"/>
            <w:r>
              <w:rPr>
                <w:sz w:val="20"/>
                <w:szCs w:val="20"/>
              </w:rPr>
              <w:t>PowerCost</w:t>
            </w:r>
            <w:proofErr w:type="spellEnd"/>
            <w:r>
              <w:rPr>
                <w:sz w:val="20"/>
                <w:szCs w:val="20"/>
              </w:rPr>
              <w:t xml:space="preserve"> in azone_fuel_power_cost.csv; this affects both gas-powered vehicles and electric vehicles.</w:t>
            </w:r>
          </w:p>
        </w:tc>
        <w:tc>
          <w:tcPr>
            <w:tcW w:w="1875" w:type="dxa"/>
            <w:vMerge w:val="restart"/>
          </w:tcPr>
          <w:p w14:paraId="00000091" w14:textId="77777777" w:rsidR="00FF56DD" w:rsidRDefault="00FF56DD" w:rsidP="00FF56DD">
            <w:pPr>
              <w:rPr>
                <w:sz w:val="20"/>
                <w:szCs w:val="20"/>
              </w:rPr>
            </w:pPr>
            <w:r>
              <w:rPr>
                <w:sz w:val="20"/>
                <w:szCs w:val="20"/>
              </w:rPr>
              <w:t>azone_fuel_power_cost.csv</w:t>
            </w:r>
          </w:p>
          <w:p w14:paraId="6F6E2E11" w14:textId="77777777" w:rsidR="002C4E66" w:rsidRDefault="002C4E66" w:rsidP="00FF56DD">
            <w:pPr>
              <w:rPr>
                <w:sz w:val="20"/>
                <w:szCs w:val="20"/>
              </w:rPr>
            </w:pPr>
          </w:p>
          <w:p w14:paraId="00000092" w14:textId="62E111A1" w:rsidR="00FF56DD" w:rsidRDefault="00FF56DD" w:rsidP="00FF56DD">
            <w:pPr>
              <w:rPr>
                <w:sz w:val="20"/>
                <w:szCs w:val="20"/>
              </w:rPr>
            </w:pPr>
            <w:r>
              <w:rPr>
                <w:sz w:val="20"/>
                <w:szCs w:val="20"/>
              </w:rPr>
              <w:t>azone_hh_veh_own_taxes.csv</w:t>
            </w:r>
          </w:p>
        </w:tc>
        <w:tc>
          <w:tcPr>
            <w:tcW w:w="1470" w:type="dxa"/>
          </w:tcPr>
          <w:p w14:paraId="00000093" w14:textId="77777777" w:rsidR="00FF56DD" w:rsidRDefault="00FF56DD" w:rsidP="00FF56DD">
            <w:pPr>
              <w:rPr>
                <w:sz w:val="20"/>
                <w:szCs w:val="20"/>
              </w:rPr>
            </w:pPr>
            <w:proofErr w:type="spellStart"/>
            <w:r>
              <w:rPr>
                <w:sz w:val="20"/>
                <w:szCs w:val="20"/>
              </w:rPr>
              <w:t>FuelCost</w:t>
            </w:r>
            <w:proofErr w:type="spellEnd"/>
            <w:r>
              <w:rPr>
                <w:sz w:val="20"/>
                <w:szCs w:val="20"/>
              </w:rPr>
              <w:t xml:space="preserve"> </w:t>
            </w:r>
          </w:p>
          <w:p w14:paraId="00000094" w14:textId="77777777" w:rsidR="00FF56DD" w:rsidRDefault="00FF56DD" w:rsidP="00FF56DD">
            <w:pPr>
              <w:rPr>
                <w:sz w:val="20"/>
                <w:szCs w:val="20"/>
              </w:rPr>
            </w:pPr>
            <w:proofErr w:type="spellStart"/>
            <w:r>
              <w:rPr>
                <w:sz w:val="20"/>
                <w:szCs w:val="20"/>
              </w:rPr>
              <w:t>PowerCost</w:t>
            </w:r>
            <w:proofErr w:type="spellEnd"/>
            <w:r>
              <w:rPr>
                <w:sz w:val="20"/>
                <w:szCs w:val="20"/>
              </w:rPr>
              <w:t xml:space="preserve"> </w:t>
            </w:r>
          </w:p>
        </w:tc>
        <w:tc>
          <w:tcPr>
            <w:tcW w:w="2085" w:type="dxa"/>
          </w:tcPr>
          <w:p w14:paraId="00000095" w14:textId="77777777" w:rsidR="00FF56DD" w:rsidRDefault="00FF56DD" w:rsidP="00FF56DD">
            <w:pPr>
              <w:jc w:val="center"/>
              <w:rPr>
                <w:sz w:val="20"/>
                <w:szCs w:val="20"/>
              </w:rPr>
            </w:pPr>
          </w:p>
        </w:tc>
      </w:tr>
      <w:tr w:rsidR="00FF56DD" w14:paraId="7A7DE537" w14:textId="77777777" w:rsidTr="00A24BC6">
        <w:tc>
          <w:tcPr>
            <w:tcW w:w="2955" w:type="dxa"/>
          </w:tcPr>
          <w:p w14:paraId="00000096" w14:textId="77777777" w:rsidR="00FF56DD" w:rsidRDefault="00FF56DD" w:rsidP="00FF56DD">
            <w:pPr>
              <w:rPr>
                <w:sz w:val="20"/>
                <w:szCs w:val="20"/>
              </w:rPr>
            </w:pPr>
            <w:r>
              <w:rPr>
                <w:sz w:val="20"/>
                <w:szCs w:val="20"/>
              </w:rPr>
              <w:t>7b. Reductions or increases in fuel costs (highway, transit)</w:t>
            </w:r>
          </w:p>
        </w:tc>
        <w:tc>
          <w:tcPr>
            <w:tcW w:w="5010" w:type="dxa"/>
          </w:tcPr>
          <w:p w14:paraId="00000097" w14:textId="77777777" w:rsidR="00FF56DD" w:rsidRDefault="00FF56DD" w:rsidP="00FF56DD">
            <w:pPr>
              <w:rPr>
                <w:sz w:val="20"/>
                <w:szCs w:val="20"/>
              </w:rPr>
            </w:pPr>
            <w:r>
              <w:rPr>
                <w:sz w:val="20"/>
                <w:szCs w:val="20"/>
              </w:rPr>
              <w:t xml:space="preserve">Alter the cost of vehicle ownership (can only do this at the </w:t>
            </w:r>
            <w:proofErr w:type="spellStart"/>
            <w:r>
              <w:rPr>
                <w:sz w:val="20"/>
                <w:szCs w:val="20"/>
              </w:rPr>
              <w:t>Azone</w:t>
            </w:r>
            <w:proofErr w:type="spellEnd"/>
            <w:r>
              <w:rPr>
                <w:sz w:val="20"/>
                <w:szCs w:val="20"/>
              </w:rPr>
              <w:t xml:space="preserve"> level) as part of azone_hh_veh_own_taxes.csv.</w:t>
            </w:r>
          </w:p>
        </w:tc>
        <w:tc>
          <w:tcPr>
            <w:tcW w:w="1875" w:type="dxa"/>
            <w:vMerge/>
          </w:tcPr>
          <w:p w14:paraId="00000098" w14:textId="77777777" w:rsidR="00FF56DD" w:rsidRDefault="00FF56DD" w:rsidP="00FF56DD">
            <w:pPr>
              <w:widowControl w:val="0"/>
              <w:pBdr>
                <w:top w:val="nil"/>
                <w:left w:val="nil"/>
                <w:bottom w:val="nil"/>
                <w:right w:val="nil"/>
                <w:between w:val="nil"/>
              </w:pBdr>
              <w:rPr>
                <w:sz w:val="20"/>
                <w:szCs w:val="20"/>
              </w:rPr>
            </w:pPr>
          </w:p>
        </w:tc>
        <w:tc>
          <w:tcPr>
            <w:tcW w:w="1470" w:type="dxa"/>
          </w:tcPr>
          <w:p w14:paraId="00000099" w14:textId="77777777" w:rsidR="00FF56DD" w:rsidRDefault="00FF56DD" w:rsidP="00FF56DD">
            <w:pPr>
              <w:widowControl w:val="0"/>
              <w:pBdr>
                <w:top w:val="nil"/>
                <w:left w:val="nil"/>
                <w:bottom w:val="nil"/>
                <w:right w:val="nil"/>
                <w:between w:val="nil"/>
              </w:pBdr>
              <w:jc w:val="center"/>
              <w:rPr>
                <w:sz w:val="20"/>
                <w:szCs w:val="20"/>
              </w:rPr>
            </w:pPr>
            <w:proofErr w:type="spellStart"/>
            <w:r>
              <w:rPr>
                <w:sz w:val="20"/>
                <w:szCs w:val="20"/>
              </w:rPr>
              <w:t>VehOwnAdValoremTax</w:t>
            </w:r>
            <w:proofErr w:type="spellEnd"/>
          </w:p>
        </w:tc>
        <w:tc>
          <w:tcPr>
            <w:tcW w:w="2085" w:type="dxa"/>
          </w:tcPr>
          <w:p w14:paraId="0000009A" w14:textId="77777777" w:rsidR="00FF56DD" w:rsidRDefault="00FF56DD" w:rsidP="00FF56DD">
            <w:pPr>
              <w:widowControl w:val="0"/>
              <w:pBdr>
                <w:top w:val="nil"/>
                <w:left w:val="nil"/>
                <w:bottom w:val="nil"/>
                <w:right w:val="nil"/>
                <w:between w:val="nil"/>
              </w:pBdr>
              <w:jc w:val="center"/>
              <w:rPr>
                <w:sz w:val="20"/>
                <w:szCs w:val="20"/>
              </w:rPr>
            </w:pPr>
          </w:p>
        </w:tc>
      </w:tr>
      <w:tr w:rsidR="00FF56DD" w14:paraId="4ACF7793" w14:textId="77777777" w:rsidTr="00A24BC6">
        <w:tc>
          <w:tcPr>
            <w:tcW w:w="2955" w:type="dxa"/>
          </w:tcPr>
          <w:p w14:paraId="0000009B" w14:textId="77777777" w:rsidR="00FF56DD" w:rsidRDefault="00FF56DD" w:rsidP="00FF56DD">
            <w:pPr>
              <w:rPr>
                <w:color w:val="B7B7B7"/>
                <w:sz w:val="20"/>
                <w:szCs w:val="20"/>
              </w:rPr>
            </w:pPr>
            <w:r>
              <w:rPr>
                <w:color w:val="B7B7B7"/>
                <w:sz w:val="20"/>
                <w:szCs w:val="20"/>
              </w:rPr>
              <w:t>8a</w:t>
            </w:r>
          </w:p>
        </w:tc>
        <w:tc>
          <w:tcPr>
            <w:tcW w:w="5010" w:type="dxa"/>
          </w:tcPr>
          <w:p w14:paraId="0000009C" w14:textId="77777777" w:rsidR="00FF56DD" w:rsidRDefault="00FF56DD" w:rsidP="00FF56DD">
            <w:pPr>
              <w:rPr>
                <w:color w:val="B7B7B7"/>
                <w:sz w:val="20"/>
                <w:szCs w:val="20"/>
              </w:rPr>
            </w:pPr>
            <w:r>
              <w:rPr>
                <w:color w:val="B7B7B7"/>
                <w:sz w:val="20"/>
                <w:szCs w:val="20"/>
              </w:rPr>
              <w:t xml:space="preserve">For select </w:t>
            </w:r>
            <w:proofErr w:type="spellStart"/>
            <w:r>
              <w:rPr>
                <w:color w:val="B7B7B7"/>
                <w:sz w:val="20"/>
                <w:szCs w:val="20"/>
              </w:rPr>
              <w:t>Bzones</w:t>
            </w:r>
            <w:proofErr w:type="spellEnd"/>
            <w:r>
              <w:rPr>
                <w:color w:val="B7B7B7"/>
                <w:sz w:val="20"/>
                <w:szCs w:val="20"/>
              </w:rPr>
              <w:t xml:space="preserve">, alter car service level from low to high (see bzone_carsvc_availability.csv) which means high availability of any of the following:  carsharing (e.g., Zipcar), taxi (e.g., Lyft), and “future automated taxi services” (presumably CAV on demand as a subscription).  Perhaps do this in </w:t>
            </w:r>
            <w:proofErr w:type="spellStart"/>
            <w:r>
              <w:rPr>
                <w:color w:val="B7B7B7"/>
                <w:sz w:val="20"/>
                <w:szCs w:val="20"/>
              </w:rPr>
              <w:t>Bzones</w:t>
            </w:r>
            <w:proofErr w:type="spellEnd"/>
            <w:r>
              <w:rPr>
                <w:color w:val="B7B7B7"/>
                <w:sz w:val="20"/>
                <w:szCs w:val="20"/>
              </w:rPr>
              <w:t xml:space="preserve"> with interstates to reflect staged arrival of autonomous vehicles.</w:t>
            </w:r>
          </w:p>
        </w:tc>
        <w:tc>
          <w:tcPr>
            <w:tcW w:w="1875" w:type="dxa"/>
            <w:vMerge w:val="restart"/>
          </w:tcPr>
          <w:p w14:paraId="0000009D" w14:textId="77777777" w:rsidR="00FF56DD" w:rsidRDefault="00FF56DD" w:rsidP="00FF56DD">
            <w:pPr>
              <w:rPr>
                <w:color w:val="B7B7B7"/>
                <w:sz w:val="20"/>
                <w:szCs w:val="20"/>
              </w:rPr>
            </w:pPr>
          </w:p>
        </w:tc>
        <w:tc>
          <w:tcPr>
            <w:tcW w:w="1470" w:type="dxa"/>
          </w:tcPr>
          <w:p w14:paraId="0000009E" w14:textId="77777777" w:rsidR="00FF56DD" w:rsidRDefault="00FF56DD" w:rsidP="00FF56DD">
            <w:pPr>
              <w:jc w:val="center"/>
              <w:rPr>
                <w:color w:val="B7B7B7"/>
                <w:sz w:val="20"/>
                <w:szCs w:val="20"/>
              </w:rPr>
            </w:pPr>
          </w:p>
        </w:tc>
        <w:tc>
          <w:tcPr>
            <w:tcW w:w="2085" w:type="dxa"/>
          </w:tcPr>
          <w:p w14:paraId="0000009F" w14:textId="77777777" w:rsidR="00FF56DD" w:rsidRDefault="00FF56DD" w:rsidP="00FF56DD">
            <w:pPr>
              <w:jc w:val="center"/>
              <w:rPr>
                <w:color w:val="B7B7B7"/>
                <w:sz w:val="20"/>
                <w:szCs w:val="20"/>
              </w:rPr>
            </w:pPr>
            <w:r>
              <w:rPr>
                <w:color w:val="B7B7B7"/>
                <w:sz w:val="20"/>
                <w:szCs w:val="20"/>
              </w:rPr>
              <w:t>There is ongoing work to create an AV module. HGAC should not start this work until AV module is finalized</w:t>
            </w:r>
          </w:p>
        </w:tc>
      </w:tr>
      <w:tr w:rsidR="00FF56DD" w14:paraId="142B2157" w14:textId="77777777" w:rsidTr="00A24BC6">
        <w:tc>
          <w:tcPr>
            <w:tcW w:w="2955" w:type="dxa"/>
          </w:tcPr>
          <w:p w14:paraId="000000A0" w14:textId="77777777" w:rsidR="00FF56DD" w:rsidRDefault="00FF56DD" w:rsidP="00FF56DD">
            <w:pPr>
              <w:rPr>
                <w:color w:val="B7B7B7"/>
                <w:sz w:val="20"/>
                <w:szCs w:val="20"/>
              </w:rPr>
            </w:pPr>
            <w:r>
              <w:rPr>
                <w:color w:val="B7B7B7"/>
                <w:sz w:val="20"/>
                <w:szCs w:val="20"/>
              </w:rPr>
              <w:t>8b</w:t>
            </w:r>
          </w:p>
        </w:tc>
        <w:tc>
          <w:tcPr>
            <w:tcW w:w="5010" w:type="dxa"/>
          </w:tcPr>
          <w:p w14:paraId="000000A1" w14:textId="77777777" w:rsidR="00FF56DD" w:rsidRDefault="00FF56DD" w:rsidP="00FF56DD">
            <w:pPr>
              <w:rPr>
                <w:color w:val="B7B7B7"/>
                <w:sz w:val="20"/>
                <w:szCs w:val="20"/>
              </w:rPr>
            </w:pPr>
            <w:r>
              <w:rPr>
                <w:color w:val="B7B7B7"/>
                <w:sz w:val="20"/>
                <w:szCs w:val="20"/>
              </w:rPr>
              <w:t xml:space="preserve">Repeat scenario 8a but increase car service level </w:t>
            </w:r>
            <w:proofErr w:type="spellStart"/>
            <w:r>
              <w:rPr>
                <w:color w:val="B7B7B7"/>
                <w:sz w:val="20"/>
                <w:szCs w:val="20"/>
              </w:rPr>
              <w:t>to</w:t>
            </w:r>
            <w:proofErr w:type="spellEnd"/>
            <w:r>
              <w:rPr>
                <w:color w:val="B7B7B7"/>
                <w:sz w:val="20"/>
                <w:szCs w:val="20"/>
              </w:rPr>
              <w:t xml:space="preserve"> high for all </w:t>
            </w:r>
            <w:proofErr w:type="spellStart"/>
            <w:r>
              <w:rPr>
                <w:color w:val="B7B7B7"/>
                <w:sz w:val="20"/>
                <w:szCs w:val="20"/>
              </w:rPr>
              <w:t>Bzones</w:t>
            </w:r>
            <w:proofErr w:type="spellEnd"/>
            <w:r>
              <w:rPr>
                <w:color w:val="B7B7B7"/>
                <w:sz w:val="20"/>
                <w:szCs w:val="20"/>
              </w:rPr>
              <w:t>.</w:t>
            </w:r>
          </w:p>
        </w:tc>
        <w:tc>
          <w:tcPr>
            <w:tcW w:w="1875" w:type="dxa"/>
            <w:vMerge/>
          </w:tcPr>
          <w:p w14:paraId="000000A2" w14:textId="77777777" w:rsidR="00FF56DD" w:rsidRDefault="00FF56DD" w:rsidP="00FF56DD">
            <w:pPr>
              <w:widowControl w:val="0"/>
              <w:pBdr>
                <w:top w:val="nil"/>
                <w:left w:val="nil"/>
                <w:bottom w:val="nil"/>
                <w:right w:val="nil"/>
                <w:between w:val="nil"/>
              </w:pBdr>
              <w:rPr>
                <w:sz w:val="20"/>
                <w:szCs w:val="20"/>
              </w:rPr>
            </w:pPr>
          </w:p>
        </w:tc>
        <w:tc>
          <w:tcPr>
            <w:tcW w:w="1470" w:type="dxa"/>
          </w:tcPr>
          <w:p w14:paraId="000000A3" w14:textId="77777777" w:rsidR="00FF56DD" w:rsidRDefault="00FF56DD" w:rsidP="00FF56DD">
            <w:pPr>
              <w:widowControl w:val="0"/>
              <w:pBdr>
                <w:top w:val="nil"/>
                <w:left w:val="nil"/>
                <w:bottom w:val="nil"/>
                <w:right w:val="nil"/>
                <w:between w:val="nil"/>
              </w:pBdr>
              <w:jc w:val="center"/>
              <w:rPr>
                <w:color w:val="B7B7B7"/>
                <w:sz w:val="20"/>
                <w:szCs w:val="20"/>
              </w:rPr>
            </w:pPr>
          </w:p>
        </w:tc>
        <w:tc>
          <w:tcPr>
            <w:tcW w:w="2085" w:type="dxa"/>
          </w:tcPr>
          <w:p w14:paraId="000000A4" w14:textId="77777777" w:rsidR="00FF56DD" w:rsidRDefault="00FF56DD" w:rsidP="00FF56DD">
            <w:pPr>
              <w:widowControl w:val="0"/>
              <w:pBdr>
                <w:top w:val="nil"/>
                <w:left w:val="nil"/>
                <w:bottom w:val="nil"/>
                <w:right w:val="nil"/>
                <w:between w:val="nil"/>
              </w:pBdr>
              <w:jc w:val="center"/>
              <w:rPr>
                <w:color w:val="B7B7B7"/>
                <w:sz w:val="20"/>
                <w:szCs w:val="20"/>
              </w:rPr>
            </w:pPr>
          </w:p>
        </w:tc>
      </w:tr>
      <w:tr w:rsidR="00FD6FE8" w:rsidRPr="00FD6FE8" w14:paraId="55AABF66" w14:textId="77777777" w:rsidTr="00A24BC6">
        <w:tc>
          <w:tcPr>
            <w:tcW w:w="2955" w:type="dxa"/>
          </w:tcPr>
          <w:p w14:paraId="000000A5" w14:textId="77777777" w:rsidR="00FF56DD" w:rsidRPr="00FD6FE8" w:rsidRDefault="00FF56DD" w:rsidP="00FF56DD">
            <w:pPr>
              <w:rPr>
                <w:color w:val="000000" w:themeColor="text1"/>
                <w:sz w:val="20"/>
                <w:szCs w:val="20"/>
              </w:rPr>
            </w:pPr>
            <w:r w:rsidRPr="00FD6FE8">
              <w:rPr>
                <w:color w:val="000000" w:themeColor="text1"/>
                <w:sz w:val="20"/>
                <w:szCs w:val="20"/>
              </w:rPr>
              <w:t>9a</w:t>
            </w:r>
          </w:p>
        </w:tc>
        <w:tc>
          <w:tcPr>
            <w:tcW w:w="5010" w:type="dxa"/>
          </w:tcPr>
          <w:p w14:paraId="000000A6" w14:textId="77777777" w:rsidR="00FF56DD" w:rsidRPr="00FD6FE8" w:rsidRDefault="00FF56DD" w:rsidP="00FF56DD">
            <w:pPr>
              <w:rPr>
                <w:color w:val="000000" w:themeColor="text1"/>
                <w:sz w:val="20"/>
                <w:szCs w:val="20"/>
              </w:rPr>
            </w:pPr>
            <w:r w:rsidRPr="00FD6FE8">
              <w:rPr>
                <w:color w:val="000000" w:themeColor="text1"/>
                <w:sz w:val="20"/>
                <w:szCs w:val="20"/>
              </w:rPr>
              <w:t xml:space="preserve">In the subset of </w:t>
            </w:r>
            <w:proofErr w:type="spellStart"/>
            <w:r w:rsidRPr="00FD6FE8">
              <w:rPr>
                <w:color w:val="000000" w:themeColor="text1"/>
                <w:sz w:val="20"/>
                <w:szCs w:val="20"/>
              </w:rPr>
              <w:t>Bzones</w:t>
            </w:r>
            <w:proofErr w:type="spellEnd"/>
            <w:r w:rsidRPr="00FD6FE8">
              <w:rPr>
                <w:color w:val="000000" w:themeColor="text1"/>
                <w:sz w:val="20"/>
                <w:szCs w:val="20"/>
              </w:rPr>
              <w:t>, alter the 2045 values of D3bp04 to increase the density of pedestrian friendly intersections in selected locations.</w:t>
            </w:r>
          </w:p>
        </w:tc>
        <w:tc>
          <w:tcPr>
            <w:tcW w:w="1875" w:type="dxa"/>
            <w:vMerge w:val="restart"/>
          </w:tcPr>
          <w:p w14:paraId="000000A7" w14:textId="77777777" w:rsidR="00FF56DD" w:rsidRPr="00FD6FE8" w:rsidRDefault="00FF56DD" w:rsidP="00FF56DD">
            <w:pPr>
              <w:rPr>
                <w:color w:val="000000" w:themeColor="text1"/>
                <w:sz w:val="20"/>
                <w:szCs w:val="20"/>
              </w:rPr>
            </w:pPr>
          </w:p>
        </w:tc>
        <w:tc>
          <w:tcPr>
            <w:tcW w:w="1470" w:type="dxa"/>
          </w:tcPr>
          <w:p w14:paraId="000000A8" w14:textId="77777777" w:rsidR="00FF56DD" w:rsidRPr="00FD6FE8" w:rsidRDefault="00FF56DD" w:rsidP="00FF56DD">
            <w:pPr>
              <w:jc w:val="center"/>
              <w:rPr>
                <w:color w:val="000000" w:themeColor="text1"/>
                <w:sz w:val="20"/>
                <w:szCs w:val="20"/>
              </w:rPr>
            </w:pPr>
          </w:p>
        </w:tc>
        <w:tc>
          <w:tcPr>
            <w:tcW w:w="2085" w:type="dxa"/>
          </w:tcPr>
          <w:p w14:paraId="000000A9" w14:textId="77777777" w:rsidR="00FF56DD" w:rsidRPr="00FD6FE8" w:rsidRDefault="00FF56DD" w:rsidP="00FF56DD">
            <w:pPr>
              <w:jc w:val="center"/>
              <w:rPr>
                <w:color w:val="000000" w:themeColor="text1"/>
                <w:sz w:val="20"/>
                <w:szCs w:val="20"/>
              </w:rPr>
            </w:pPr>
          </w:p>
        </w:tc>
      </w:tr>
      <w:tr w:rsidR="00FD6FE8" w:rsidRPr="00FD6FE8" w14:paraId="127DA01F" w14:textId="77777777" w:rsidTr="00A24BC6">
        <w:tc>
          <w:tcPr>
            <w:tcW w:w="2955" w:type="dxa"/>
          </w:tcPr>
          <w:p w14:paraId="000000AA" w14:textId="77777777" w:rsidR="00FF56DD" w:rsidRPr="00FD6FE8" w:rsidRDefault="00FF56DD" w:rsidP="00FF56DD">
            <w:pPr>
              <w:rPr>
                <w:color w:val="000000" w:themeColor="text1"/>
                <w:sz w:val="20"/>
                <w:szCs w:val="20"/>
              </w:rPr>
            </w:pPr>
            <w:r w:rsidRPr="00FD6FE8">
              <w:rPr>
                <w:color w:val="000000" w:themeColor="text1"/>
                <w:sz w:val="20"/>
                <w:szCs w:val="20"/>
              </w:rPr>
              <w:t>9b</w:t>
            </w:r>
          </w:p>
        </w:tc>
        <w:tc>
          <w:tcPr>
            <w:tcW w:w="5010" w:type="dxa"/>
          </w:tcPr>
          <w:p w14:paraId="000000AB" w14:textId="77777777" w:rsidR="00FF56DD" w:rsidRPr="00FD6FE8" w:rsidRDefault="00FF56DD" w:rsidP="00FF56DD">
            <w:pPr>
              <w:rPr>
                <w:color w:val="000000" w:themeColor="text1"/>
                <w:sz w:val="20"/>
                <w:szCs w:val="20"/>
              </w:rPr>
            </w:pPr>
            <w:r w:rsidRPr="00FD6FE8">
              <w:rPr>
                <w:color w:val="000000" w:themeColor="text1"/>
                <w:sz w:val="20"/>
                <w:szCs w:val="20"/>
              </w:rPr>
              <w:t xml:space="preserve">Repeat the increases of 9a in some other location of the region.  </w:t>
            </w:r>
          </w:p>
        </w:tc>
        <w:tc>
          <w:tcPr>
            <w:tcW w:w="1875" w:type="dxa"/>
            <w:vMerge/>
          </w:tcPr>
          <w:p w14:paraId="000000AC" w14:textId="77777777" w:rsidR="00FF56DD" w:rsidRPr="00FD6FE8" w:rsidRDefault="00FF56DD" w:rsidP="00FF56DD">
            <w:pPr>
              <w:widowControl w:val="0"/>
              <w:pBdr>
                <w:top w:val="nil"/>
                <w:left w:val="nil"/>
                <w:bottom w:val="nil"/>
                <w:right w:val="nil"/>
                <w:between w:val="nil"/>
              </w:pBdr>
              <w:rPr>
                <w:color w:val="000000" w:themeColor="text1"/>
                <w:sz w:val="20"/>
                <w:szCs w:val="20"/>
              </w:rPr>
            </w:pPr>
          </w:p>
        </w:tc>
        <w:tc>
          <w:tcPr>
            <w:tcW w:w="1470" w:type="dxa"/>
          </w:tcPr>
          <w:p w14:paraId="000000AD" w14:textId="77777777" w:rsidR="00FF56DD" w:rsidRPr="00FD6FE8" w:rsidRDefault="00FF56DD" w:rsidP="00FF56DD">
            <w:pPr>
              <w:widowControl w:val="0"/>
              <w:pBdr>
                <w:top w:val="nil"/>
                <w:left w:val="nil"/>
                <w:bottom w:val="nil"/>
                <w:right w:val="nil"/>
                <w:between w:val="nil"/>
              </w:pBdr>
              <w:jc w:val="center"/>
              <w:rPr>
                <w:color w:val="000000" w:themeColor="text1"/>
                <w:sz w:val="20"/>
                <w:szCs w:val="20"/>
              </w:rPr>
            </w:pPr>
          </w:p>
        </w:tc>
        <w:tc>
          <w:tcPr>
            <w:tcW w:w="2085" w:type="dxa"/>
          </w:tcPr>
          <w:p w14:paraId="000000AE" w14:textId="77777777" w:rsidR="00FF56DD" w:rsidRPr="00FD6FE8" w:rsidRDefault="00FF56DD" w:rsidP="00FF56DD">
            <w:pPr>
              <w:widowControl w:val="0"/>
              <w:pBdr>
                <w:top w:val="nil"/>
                <w:left w:val="nil"/>
                <w:bottom w:val="nil"/>
                <w:right w:val="nil"/>
                <w:between w:val="nil"/>
              </w:pBdr>
              <w:jc w:val="center"/>
              <w:rPr>
                <w:color w:val="000000" w:themeColor="text1"/>
                <w:sz w:val="20"/>
                <w:szCs w:val="20"/>
              </w:rPr>
            </w:pPr>
          </w:p>
        </w:tc>
      </w:tr>
      <w:tr w:rsidR="00FD6FE8" w:rsidRPr="00FD6FE8" w14:paraId="78748699" w14:textId="77777777" w:rsidTr="00A24BC6">
        <w:tc>
          <w:tcPr>
            <w:tcW w:w="2955" w:type="dxa"/>
          </w:tcPr>
          <w:p w14:paraId="000000AF" w14:textId="77777777" w:rsidR="00FF56DD" w:rsidRPr="00FD6FE8" w:rsidRDefault="00FF56DD" w:rsidP="00FF56DD">
            <w:pPr>
              <w:rPr>
                <w:color w:val="000000" w:themeColor="text1"/>
                <w:sz w:val="20"/>
                <w:szCs w:val="20"/>
              </w:rPr>
            </w:pPr>
            <w:r w:rsidRPr="00FD6FE8">
              <w:rPr>
                <w:color w:val="000000" w:themeColor="text1"/>
                <w:sz w:val="20"/>
                <w:szCs w:val="20"/>
              </w:rPr>
              <w:t>10a</w:t>
            </w:r>
          </w:p>
        </w:tc>
        <w:tc>
          <w:tcPr>
            <w:tcW w:w="5010" w:type="dxa"/>
          </w:tcPr>
          <w:p w14:paraId="000000B0" w14:textId="77777777" w:rsidR="00FF56DD" w:rsidRPr="00FD6FE8" w:rsidRDefault="00FF56DD" w:rsidP="00FF56DD">
            <w:pPr>
              <w:rPr>
                <w:color w:val="000000" w:themeColor="text1"/>
                <w:sz w:val="20"/>
                <w:szCs w:val="20"/>
              </w:rPr>
            </w:pPr>
            <w:r w:rsidRPr="00FD6FE8">
              <w:rPr>
                <w:color w:val="000000" w:themeColor="text1"/>
                <w:sz w:val="20"/>
                <w:szCs w:val="20"/>
              </w:rPr>
              <w:t>To simulate electrification of subscription-based autonomous vehicles, within region_carsvc_powertrain_prop.csv increase the proportion of hybrid cars and light trucks (</w:t>
            </w:r>
            <w:proofErr w:type="spellStart"/>
            <w:r w:rsidRPr="00FD6FE8">
              <w:rPr>
                <w:color w:val="000000" w:themeColor="text1"/>
                <w:sz w:val="20"/>
                <w:szCs w:val="20"/>
              </w:rPr>
              <w:t>CarSvcAutoPropHev</w:t>
            </w:r>
            <w:proofErr w:type="spellEnd"/>
            <w:r w:rsidRPr="00FD6FE8">
              <w:rPr>
                <w:color w:val="000000" w:themeColor="text1"/>
                <w:sz w:val="20"/>
                <w:szCs w:val="20"/>
              </w:rPr>
              <w:t xml:space="preserve"> and </w:t>
            </w:r>
            <w:proofErr w:type="spellStart"/>
            <w:r w:rsidRPr="00FD6FE8">
              <w:rPr>
                <w:color w:val="000000" w:themeColor="text1"/>
                <w:sz w:val="20"/>
                <w:szCs w:val="20"/>
              </w:rPr>
              <w:t>CarSvcLtTrkPropHev</w:t>
            </w:r>
            <w:proofErr w:type="spellEnd"/>
            <w:r w:rsidRPr="00FD6FE8">
              <w:rPr>
                <w:color w:val="000000" w:themeColor="text1"/>
                <w:sz w:val="20"/>
                <w:szCs w:val="20"/>
              </w:rPr>
              <w:t>).</w:t>
            </w:r>
          </w:p>
        </w:tc>
        <w:tc>
          <w:tcPr>
            <w:tcW w:w="1875" w:type="dxa"/>
            <w:vMerge w:val="restart"/>
          </w:tcPr>
          <w:p w14:paraId="000000B1" w14:textId="77777777" w:rsidR="00FF56DD" w:rsidRPr="00FD6FE8" w:rsidRDefault="00FF56DD" w:rsidP="00FF56DD">
            <w:pPr>
              <w:rPr>
                <w:color w:val="000000" w:themeColor="text1"/>
                <w:sz w:val="20"/>
                <w:szCs w:val="20"/>
              </w:rPr>
            </w:pPr>
          </w:p>
        </w:tc>
        <w:tc>
          <w:tcPr>
            <w:tcW w:w="1470" w:type="dxa"/>
          </w:tcPr>
          <w:p w14:paraId="000000B2" w14:textId="77777777" w:rsidR="00FF56DD" w:rsidRPr="00FD6FE8" w:rsidRDefault="00FF56DD" w:rsidP="00FF56DD">
            <w:pPr>
              <w:jc w:val="center"/>
              <w:rPr>
                <w:color w:val="000000" w:themeColor="text1"/>
                <w:sz w:val="20"/>
                <w:szCs w:val="20"/>
              </w:rPr>
            </w:pPr>
          </w:p>
        </w:tc>
        <w:tc>
          <w:tcPr>
            <w:tcW w:w="2085" w:type="dxa"/>
          </w:tcPr>
          <w:p w14:paraId="000000B3" w14:textId="77777777" w:rsidR="00FF56DD" w:rsidRPr="00FD6FE8" w:rsidRDefault="00FF56DD" w:rsidP="00FF56DD">
            <w:pPr>
              <w:jc w:val="center"/>
              <w:rPr>
                <w:color w:val="000000" w:themeColor="text1"/>
                <w:sz w:val="20"/>
                <w:szCs w:val="20"/>
              </w:rPr>
            </w:pPr>
          </w:p>
        </w:tc>
      </w:tr>
      <w:tr w:rsidR="00FD6FE8" w:rsidRPr="00FD6FE8" w14:paraId="295C8469" w14:textId="77777777" w:rsidTr="00A24BC6">
        <w:tc>
          <w:tcPr>
            <w:tcW w:w="2955" w:type="dxa"/>
          </w:tcPr>
          <w:p w14:paraId="000000B4" w14:textId="77777777" w:rsidR="00FF56DD" w:rsidRPr="00FD6FE8" w:rsidRDefault="00FF56DD" w:rsidP="00FF56DD">
            <w:pPr>
              <w:rPr>
                <w:color w:val="000000" w:themeColor="text1"/>
                <w:sz w:val="20"/>
                <w:szCs w:val="20"/>
              </w:rPr>
            </w:pPr>
            <w:r w:rsidRPr="00FD6FE8">
              <w:rPr>
                <w:color w:val="000000" w:themeColor="text1"/>
                <w:sz w:val="20"/>
                <w:szCs w:val="20"/>
              </w:rPr>
              <w:t>10b</w:t>
            </w:r>
          </w:p>
        </w:tc>
        <w:tc>
          <w:tcPr>
            <w:tcW w:w="5010" w:type="dxa"/>
          </w:tcPr>
          <w:p w14:paraId="000000B5" w14:textId="77777777" w:rsidR="00FF56DD" w:rsidRPr="00FD6FE8" w:rsidRDefault="00FF56DD" w:rsidP="00FF56DD">
            <w:pPr>
              <w:rPr>
                <w:color w:val="000000" w:themeColor="text1"/>
                <w:sz w:val="20"/>
                <w:szCs w:val="20"/>
              </w:rPr>
            </w:pPr>
            <w:r w:rsidRPr="00FD6FE8">
              <w:rPr>
                <w:color w:val="000000" w:themeColor="text1"/>
                <w:sz w:val="20"/>
                <w:szCs w:val="20"/>
              </w:rPr>
              <w:t>Within marea_transit_powertrain_prop.csv, increase the proportion of hybrid buses and paratransit vans (</w:t>
            </w:r>
            <w:proofErr w:type="spellStart"/>
            <w:r w:rsidRPr="00FD6FE8">
              <w:rPr>
                <w:color w:val="000000" w:themeColor="text1"/>
                <w:sz w:val="20"/>
                <w:szCs w:val="20"/>
              </w:rPr>
              <w:t>BusPropHev</w:t>
            </w:r>
            <w:proofErr w:type="spellEnd"/>
            <w:r w:rsidRPr="00FD6FE8">
              <w:rPr>
                <w:color w:val="000000" w:themeColor="text1"/>
                <w:sz w:val="20"/>
                <w:szCs w:val="20"/>
              </w:rPr>
              <w:t xml:space="preserve"> and </w:t>
            </w:r>
            <w:proofErr w:type="spellStart"/>
            <w:r w:rsidRPr="00FD6FE8">
              <w:rPr>
                <w:color w:val="000000" w:themeColor="text1"/>
                <w:sz w:val="20"/>
                <w:szCs w:val="20"/>
              </w:rPr>
              <w:t>VanPropHev</w:t>
            </w:r>
            <w:proofErr w:type="spellEnd"/>
            <w:r w:rsidRPr="00FD6FE8">
              <w:rPr>
                <w:color w:val="000000" w:themeColor="text1"/>
                <w:sz w:val="20"/>
                <w:szCs w:val="20"/>
              </w:rPr>
              <w:t>).</w:t>
            </w:r>
          </w:p>
        </w:tc>
        <w:tc>
          <w:tcPr>
            <w:tcW w:w="1875" w:type="dxa"/>
            <w:vMerge/>
          </w:tcPr>
          <w:p w14:paraId="000000B6" w14:textId="77777777" w:rsidR="00FF56DD" w:rsidRPr="00FD6FE8" w:rsidRDefault="00FF56DD" w:rsidP="00FF56DD">
            <w:pPr>
              <w:widowControl w:val="0"/>
              <w:pBdr>
                <w:top w:val="nil"/>
                <w:left w:val="nil"/>
                <w:bottom w:val="nil"/>
                <w:right w:val="nil"/>
                <w:between w:val="nil"/>
              </w:pBdr>
              <w:rPr>
                <w:color w:val="000000" w:themeColor="text1"/>
                <w:sz w:val="20"/>
                <w:szCs w:val="20"/>
              </w:rPr>
            </w:pPr>
          </w:p>
        </w:tc>
        <w:tc>
          <w:tcPr>
            <w:tcW w:w="1470" w:type="dxa"/>
          </w:tcPr>
          <w:p w14:paraId="000000B7" w14:textId="77777777" w:rsidR="00FF56DD" w:rsidRPr="00FD6FE8" w:rsidRDefault="00FF56DD" w:rsidP="00FF56DD">
            <w:pPr>
              <w:widowControl w:val="0"/>
              <w:pBdr>
                <w:top w:val="nil"/>
                <w:left w:val="nil"/>
                <w:bottom w:val="nil"/>
                <w:right w:val="nil"/>
                <w:between w:val="nil"/>
              </w:pBdr>
              <w:jc w:val="center"/>
              <w:rPr>
                <w:color w:val="000000" w:themeColor="text1"/>
                <w:sz w:val="20"/>
                <w:szCs w:val="20"/>
              </w:rPr>
            </w:pPr>
          </w:p>
        </w:tc>
        <w:tc>
          <w:tcPr>
            <w:tcW w:w="2085" w:type="dxa"/>
          </w:tcPr>
          <w:p w14:paraId="000000B8" w14:textId="77777777" w:rsidR="00FF56DD" w:rsidRPr="00FD6FE8" w:rsidRDefault="00FF56DD" w:rsidP="00FF56DD">
            <w:pPr>
              <w:widowControl w:val="0"/>
              <w:pBdr>
                <w:top w:val="nil"/>
                <w:left w:val="nil"/>
                <w:bottom w:val="nil"/>
                <w:right w:val="nil"/>
                <w:between w:val="nil"/>
              </w:pBdr>
              <w:jc w:val="center"/>
              <w:rPr>
                <w:color w:val="000000" w:themeColor="text1"/>
                <w:sz w:val="20"/>
                <w:szCs w:val="20"/>
              </w:rPr>
            </w:pPr>
          </w:p>
        </w:tc>
      </w:tr>
      <w:tr w:rsidR="00FD6FE8" w:rsidRPr="00FD6FE8" w14:paraId="5D50681D" w14:textId="77777777" w:rsidTr="00A24BC6">
        <w:tc>
          <w:tcPr>
            <w:tcW w:w="2955" w:type="dxa"/>
          </w:tcPr>
          <w:p w14:paraId="000000B9" w14:textId="77777777" w:rsidR="00FF56DD" w:rsidRPr="00FD6FE8" w:rsidRDefault="00FF56DD" w:rsidP="00FF56DD">
            <w:pPr>
              <w:rPr>
                <w:color w:val="000000" w:themeColor="text1"/>
                <w:sz w:val="20"/>
                <w:szCs w:val="20"/>
              </w:rPr>
            </w:pPr>
            <w:r w:rsidRPr="00FD6FE8">
              <w:rPr>
                <w:color w:val="000000" w:themeColor="text1"/>
                <w:sz w:val="20"/>
                <w:szCs w:val="20"/>
              </w:rPr>
              <w:t>10c</w:t>
            </w:r>
          </w:p>
        </w:tc>
        <w:tc>
          <w:tcPr>
            <w:tcW w:w="5010" w:type="dxa"/>
          </w:tcPr>
          <w:p w14:paraId="000000BA" w14:textId="77777777" w:rsidR="00FF56DD" w:rsidRPr="00FD6FE8" w:rsidRDefault="00FF56DD" w:rsidP="00FF56DD">
            <w:pPr>
              <w:rPr>
                <w:b/>
                <w:color w:val="000000" w:themeColor="text1"/>
                <w:sz w:val="20"/>
                <w:szCs w:val="20"/>
                <w:highlight w:val="white"/>
              </w:rPr>
            </w:pPr>
            <w:r w:rsidRPr="00FD6FE8">
              <w:rPr>
                <w:color w:val="000000" w:themeColor="text1"/>
                <w:sz w:val="20"/>
                <w:szCs w:val="20"/>
                <w:highlight w:val="white"/>
              </w:rPr>
              <w:t xml:space="preserve">To simulation electrification of household vehicles generally, based on </w:t>
            </w:r>
          </w:p>
          <w:p w14:paraId="000000BB" w14:textId="77777777" w:rsidR="00FF56DD" w:rsidRPr="00FD6FE8" w:rsidRDefault="00FF56DD" w:rsidP="00FF56DD">
            <w:pPr>
              <w:rPr>
                <w:b/>
                <w:color w:val="000000" w:themeColor="text1"/>
                <w:sz w:val="20"/>
                <w:szCs w:val="20"/>
              </w:rPr>
            </w:pPr>
            <w:r w:rsidRPr="00FD6FE8">
              <w:rPr>
                <w:color w:val="000000" w:themeColor="text1"/>
                <w:sz w:val="20"/>
                <w:szCs w:val="20"/>
              </w:rPr>
              <w:t xml:space="preserve">https://www.eia.gov/environment/emissions/co2_vol_mass.php, bring in region_ave_fuel_carbon_intensity.csv and modify the </w:t>
            </w:r>
            <w:proofErr w:type="spellStart"/>
            <w:r w:rsidRPr="00FD6FE8">
              <w:rPr>
                <w:color w:val="000000" w:themeColor="text1"/>
                <w:sz w:val="20"/>
                <w:szCs w:val="20"/>
              </w:rPr>
              <w:t>HhFuelCI</w:t>
            </w:r>
            <w:proofErr w:type="spellEnd"/>
            <w:r w:rsidRPr="00FD6FE8">
              <w:rPr>
                <w:color w:val="000000" w:themeColor="text1"/>
                <w:sz w:val="20"/>
                <w:szCs w:val="20"/>
              </w:rPr>
              <w:t xml:space="preserve"> attribute—that’s really the only way </w:t>
            </w:r>
            <w:r w:rsidRPr="00FD6FE8">
              <w:rPr>
                <w:color w:val="000000" w:themeColor="text1"/>
                <w:sz w:val="20"/>
                <w:szCs w:val="20"/>
              </w:rPr>
              <w:lastRenderedPageBreak/>
              <w:t>to alter powertrain for household vehicles.</w:t>
            </w:r>
            <w:r w:rsidRPr="00FD6FE8">
              <w:rPr>
                <w:b/>
                <w:color w:val="000000" w:themeColor="text1"/>
                <w:sz w:val="20"/>
                <w:szCs w:val="20"/>
                <w:highlight w:val="white"/>
              </w:rPr>
              <w:t xml:space="preserve"> </w:t>
            </w:r>
          </w:p>
        </w:tc>
        <w:tc>
          <w:tcPr>
            <w:tcW w:w="1875" w:type="dxa"/>
            <w:vMerge/>
          </w:tcPr>
          <w:p w14:paraId="000000BC" w14:textId="77777777" w:rsidR="00FF56DD" w:rsidRPr="00FD6FE8" w:rsidRDefault="00FF56DD" w:rsidP="00FF56DD">
            <w:pPr>
              <w:widowControl w:val="0"/>
              <w:pBdr>
                <w:top w:val="nil"/>
                <w:left w:val="nil"/>
                <w:bottom w:val="nil"/>
                <w:right w:val="nil"/>
                <w:between w:val="nil"/>
              </w:pBdr>
              <w:rPr>
                <w:b/>
                <w:color w:val="000000" w:themeColor="text1"/>
                <w:sz w:val="20"/>
                <w:szCs w:val="20"/>
              </w:rPr>
            </w:pPr>
          </w:p>
        </w:tc>
        <w:tc>
          <w:tcPr>
            <w:tcW w:w="1470" w:type="dxa"/>
          </w:tcPr>
          <w:p w14:paraId="000000BD" w14:textId="77777777" w:rsidR="00FF56DD" w:rsidRPr="00FD6FE8" w:rsidRDefault="00FF56DD" w:rsidP="00FF56DD">
            <w:pPr>
              <w:widowControl w:val="0"/>
              <w:pBdr>
                <w:top w:val="nil"/>
                <w:left w:val="nil"/>
                <w:bottom w:val="nil"/>
                <w:right w:val="nil"/>
                <w:between w:val="nil"/>
              </w:pBdr>
              <w:jc w:val="center"/>
              <w:rPr>
                <w:color w:val="000000" w:themeColor="text1"/>
                <w:sz w:val="20"/>
                <w:szCs w:val="20"/>
              </w:rPr>
            </w:pPr>
          </w:p>
        </w:tc>
        <w:tc>
          <w:tcPr>
            <w:tcW w:w="2085" w:type="dxa"/>
          </w:tcPr>
          <w:p w14:paraId="000000BE" w14:textId="77777777" w:rsidR="00FF56DD" w:rsidRPr="00FD6FE8" w:rsidRDefault="00FF56DD" w:rsidP="00FF56DD">
            <w:pPr>
              <w:widowControl w:val="0"/>
              <w:pBdr>
                <w:top w:val="nil"/>
                <w:left w:val="nil"/>
                <w:bottom w:val="nil"/>
                <w:right w:val="nil"/>
                <w:between w:val="nil"/>
              </w:pBdr>
              <w:jc w:val="center"/>
              <w:rPr>
                <w:color w:val="000000" w:themeColor="text1"/>
                <w:sz w:val="20"/>
                <w:szCs w:val="20"/>
              </w:rPr>
            </w:pPr>
          </w:p>
        </w:tc>
      </w:tr>
      <w:tr w:rsidR="00FD6FE8" w:rsidRPr="00FD6FE8" w14:paraId="70B714AC" w14:textId="77777777" w:rsidTr="00A24BC6">
        <w:tc>
          <w:tcPr>
            <w:tcW w:w="2955" w:type="dxa"/>
          </w:tcPr>
          <w:p w14:paraId="000000BF" w14:textId="77777777" w:rsidR="00FF56DD" w:rsidRPr="00FD6FE8" w:rsidRDefault="00FF56DD" w:rsidP="00FF56DD">
            <w:pPr>
              <w:rPr>
                <w:color w:val="000000" w:themeColor="text1"/>
                <w:sz w:val="20"/>
                <w:szCs w:val="20"/>
              </w:rPr>
            </w:pPr>
            <w:r w:rsidRPr="00FD6FE8">
              <w:rPr>
                <w:color w:val="000000" w:themeColor="text1"/>
                <w:sz w:val="20"/>
                <w:szCs w:val="20"/>
              </w:rPr>
              <w:t>10d</w:t>
            </w:r>
          </w:p>
        </w:tc>
        <w:tc>
          <w:tcPr>
            <w:tcW w:w="5010" w:type="dxa"/>
          </w:tcPr>
          <w:p w14:paraId="000000C0" w14:textId="77777777" w:rsidR="00FF56DD" w:rsidRPr="00FD6FE8" w:rsidRDefault="00FF56DD" w:rsidP="00FF56DD">
            <w:pPr>
              <w:rPr>
                <w:rFonts w:ascii="Quattrocento Sans" w:eastAsia="Quattrocento Sans" w:hAnsi="Quattrocento Sans" w:cs="Quattrocento Sans"/>
                <w:b/>
                <w:color w:val="000000" w:themeColor="text1"/>
                <w:highlight w:val="white"/>
              </w:rPr>
            </w:pPr>
            <w:r w:rsidRPr="00FD6FE8">
              <w:rPr>
                <w:color w:val="000000" w:themeColor="text1"/>
                <w:sz w:val="20"/>
                <w:szCs w:val="20"/>
              </w:rPr>
              <w:t>Within region_hvytrk_powertrain_prop.csv, increase the proportion of hybrid heavy trucks (</w:t>
            </w:r>
            <w:proofErr w:type="spellStart"/>
            <w:r w:rsidRPr="00FD6FE8">
              <w:rPr>
                <w:color w:val="000000" w:themeColor="text1"/>
                <w:sz w:val="20"/>
                <w:szCs w:val="20"/>
              </w:rPr>
              <w:t>HvyTrkPropHev</w:t>
            </w:r>
            <w:proofErr w:type="spellEnd"/>
            <w:r w:rsidRPr="00FD6FE8">
              <w:rPr>
                <w:color w:val="000000" w:themeColor="text1"/>
                <w:sz w:val="20"/>
                <w:szCs w:val="20"/>
              </w:rPr>
              <w:t xml:space="preserve">).  [My guess now is </w:t>
            </w:r>
            <w:proofErr w:type="spellStart"/>
            <w:r w:rsidRPr="00FD6FE8">
              <w:rPr>
                <w:color w:val="000000" w:themeColor="text1"/>
                <w:sz w:val="20"/>
                <w:szCs w:val="20"/>
              </w:rPr>
              <w:t>ComSvcAutoPropHev</w:t>
            </w:r>
            <w:proofErr w:type="spellEnd"/>
            <w:r w:rsidRPr="00FD6FE8">
              <w:rPr>
                <w:color w:val="000000" w:themeColor="text1"/>
                <w:sz w:val="20"/>
                <w:szCs w:val="20"/>
              </w:rPr>
              <w:t xml:space="preserve"> and </w:t>
            </w:r>
            <w:proofErr w:type="spellStart"/>
            <w:r w:rsidRPr="00FD6FE8">
              <w:rPr>
                <w:color w:val="000000" w:themeColor="text1"/>
                <w:sz w:val="20"/>
                <w:szCs w:val="20"/>
              </w:rPr>
              <w:t>ComSvcLtTrkPropHev</w:t>
            </w:r>
            <w:proofErr w:type="spellEnd"/>
            <w:r w:rsidRPr="00FD6FE8">
              <w:rPr>
                <w:color w:val="000000" w:themeColor="text1"/>
                <w:sz w:val="20"/>
                <w:szCs w:val="20"/>
              </w:rPr>
              <w:t xml:space="preserve"> are household-based industrial services such as a plumber, roofer, or electrician—not a heavy vehicle but not a passenger car either.]</w:t>
            </w:r>
          </w:p>
        </w:tc>
        <w:tc>
          <w:tcPr>
            <w:tcW w:w="1875" w:type="dxa"/>
            <w:vMerge/>
          </w:tcPr>
          <w:p w14:paraId="000000C1" w14:textId="77777777" w:rsidR="00FF56DD" w:rsidRPr="00FD6FE8" w:rsidRDefault="00FF56DD" w:rsidP="00FF56DD">
            <w:pPr>
              <w:widowControl w:val="0"/>
              <w:pBdr>
                <w:top w:val="nil"/>
                <w:left w:val="nil"/>
                <w:bottom w:val="nil"/>
                <w:right w:val="nil"/>
                <w:between w:val="nil"/>
              </w:pBdr>
              <w:rPr>
                <w:rFonts w:ascii="Quattrocento Sans" w:eastAsia="Quattrocento Sans" w:hAnsi="Quattrocento Sans" w:cs="Quattrocento Sans"/>
                <w:b/>
                <w:color w:val="000000" w:themeColor="text1"/>
                <w:highlight w:val="white"/>
              </w:rPr>
            </w:pPr>
          </w:p>
        </w:tc>
        <w:tc>
          <w:tcPr>
            <w:tcW w:w="1470" w:type="dxa"/>
          </w:tcPr>
          <w:p w14:paraId="000000C2" w14:textId="77777777" w:rsidR="00FF56DD" w:rsidRPr="00FD6FE8" w:rsidRDefault="00FF56DD" w:rsidP="00FF56DD">
            <w:pPr>
              <w:widowControl w:val="0"/>
              <w:pBdr>
                <w:top w:val="nil"/>
                <w:left w:val="nil"/>
                <w:bottom w:val="nil"/>
                <w:right w:val="nil"/>
                <w:between w:val="nil"/>
              </w:pBdr>
              <w:jc w:val="center"/>
              <w:rPr>
                <w:rFonts w:ascii="Quattrocento Sans" w:eastAsia="Quattrocento Sans" w:hAnsi="Quattrocento Sans" w:cs="Quattrocento Sans"/>
                <w:color w:val="000000" w:themeColor="text1"/>
                <w:highlight w:val="white"/>
              </w:rPr>
            </w:pPr>
          </w:p>
        </w:tc>
        <w:tc>
          <w:tcPr>
            <w:tcW w:w="2085" w:type="dxa"/>
          </w:tcPr>
          <w:p w14:paraId="000000C3" w14:textId="77777777" w:rsidR="00FF56DD" w:rsidRPr="00FD6FE8" w:rsidRDefault="00FF56DD" w:rsidP="00FF56DD">
            <w:pPr>
              <w:widowControl w:val="0"/>
              <w:pBdr>
                <w:top w:val="nil"/>
                <w:left w:val="nil"/>
                <w:bottom w:val="nil"/>
                <w:right w:val="nil"/>
                <w:between w:val="nil"/>
              </w:pBdr>
              <w:jc w:val="center"/>
              <w:rPr>
                <w:rFonts w:ascii="Quattrocento Sans" w:eastAsia="Quattrocento Sans" w:hAnsi="Quattrocento Sans" w:cs="Quattrocento Sans"/>
                <w:color w:val="000000" w:themeColor="text1"/>
                <w:highlight w:val="white"/>
              </w:rPr>
            </w:pPr>
          </w:p>
        </w:tc>
      </w:tr>
      <w:tr w:rsidR="00FF56DD" w:rsidRPr="00FD6FE8" w14:paraId="3AA0F927" w14:textId="77777777" w:rsidTr="00A24BC6">
        <w:tc>
          <w:tcPr>
            <w:tcW w:w="2955" w:type="dxa"/>
          </w:tcPr>
          <w:p w14:paraId="000000C4" w14:textId="77777777" w:rsidR="00FF56DD" w:rsidRPr="00FD6FE8" w:rsidRDefault="00FF56DD" w:rsidP="00FF56DD">
            <w:pPr>
              <w:rPr>
                <w:color w:val="000000" w:themeColor="text1"/>
                <w:sz w:val="20"/>
                <w:szCs w:val="20"/>
              </w:rPr>
            </w:pPr>
            <w:r w:rsidRPr="00FD6FE8">
              <w:rPr>
                <w:color w:val="000000" w:themeColor="text1"/>
                <w:sz w:val="20"/>
                <w:szCs w:val="20"/>
              </w:rPr>
              <w:t>10e</w:t>
            </w:r>
          </w:p>
        </w:tc>
        <w:tc>
          <w:tcPr>
            <w:tcW w:w="5010" w:type="dxa"/>
          </w:tcPr>
          <w:p w14:paraId="17F8ADDA" w14:textId="77777777" w:rsidR="00FF56DD" w:rsidRDefault="00FF56DD" w:rsidP="00FF56DD">
            <w:pPr>
              <w:rPr>
                <w:color w:val="000000" w:themeColor="text1"/>
                <w:sz w:val="20"/>
                <w:szCs w:val="20"/>
                <w:highlight w:val="white"/>
              </w:rPr>
            </w:pPr>
            <w:r w:rsidRPr="00FD6FE8">
              <w:rPr>
                <w:color w:val="000000" w:themeColor="text1"/>
                <w:sz w:val="20"/>
                <w:szCs w:val="20"/>
                <w:highlight w:val="white"/>
              </w:rPr>
              <w:t xml:space="preserve">To reflect changes in electricity supply (e.g., solar, coal, etc.) alter within azone_electricity_carbon_intensity.csv the attribute </w:t>
            </w:r>
            <w:proofErr w:type="spellStart"/>
            <w:r w:rsidRPr="00FD6FE8">
              <w:rPr>
                <w:color w:val="000000" w:themeColor="text1"/>
                <w:sz w:val="20"/>
                <w:szCs w:val="20"/>
                <w:highlight w:val="white"/>
              </w:rPr>
              <w:t>ElectricityCI</w:t>
            </w:r>
            <w:proofErr w:type="spellEnd"/>
            <w:r w:rsidRPr="00FD6FE8">
              <w:rPr>
                <w:color w:val="000000" w:themeColor="text1"/>
                <w:sz w:val="20"/>
                <w:szCs w:val="20"/>
                <w:highlight w:val="white"/>
              </w:rPr>
              <w:t xml:space="preserve"> which is “Carbon intensity of electricity at point of consumption.”  </w:t>
            </w:r>
          </w:p>
          <w:p w14:paraId="000000C5" w14:textId="6A5E620D" w:rsidR="00A24BC6" w:rsidRPr="00FD6FE8" w:rsidRDefault="00A24BC6" w:rsidP="00FF56DD">
            <w:pPr>
              <w:rPr>
                <w:color w:val="000000" w:themeColor="text1"/>
                <w:sz w:val="20"/>
                <w:szCs w:val="20"/>
                <w:highlight w:val="white"/>
              </w:rPr>
            </w:pPr>
          </w:p>
        </w:tc>
        <w:tc>
          <w:tcPr>
            <w:tcW w:w="1875" w:type="dxa"/>
          </w:tcPr>
          <w:p w14:paraId="000000C6" w14:textId="77777777" w:rsidR="00FF56DD" w:rsidRPr="00FD6FE8" w:rsidRDefault="00FF56DD" w:rsidP="00FF56DD">
            <w:pPr>
              <w:rPr>
                <w:color w:val="000000" w:themeColor="text1"/>
                <w:sz w:val="20"/>
                <w:szCs w:val="20"/>
              </w:rPr>
            </w:pPr>
          </w:p>
        </w:tc>
        <w:tc>
          <w:tcPr>
            <w:tcW w:w="1470" w:type="dxa"/>
          </w:tcPr>
          <w:p w14:paraId="000000C7" w14:textId="77777777" w:rsidR="00FF56DD" w:rsidRPr="00FD6FE8" w:rsidRDefault="00FF56DD" w:rsidP="00FF56DD">
            <w:pPr>
              <w:jc w:val="center"/>
              <w:rPr>
                <w:color w:val="000000" w:themeColor="text1"/>
                <w:sz w:val="20"/>
                <w:szCs w:val="20"/>
              </w:rPr>
            </w:pPr>
          </w:p>
        </w:tc>
        <w:tc>
          <w:tcPr>
            <w:tcW w:w="2085" w:type="dxa"/>
          </w:tcPr>
          <w:p w14:paraId="000000C8" w14:textId="77777777" w:rsidR="00FF56DD" w:rsidRPr="00FD6FE8" w:rsidRDefault="00FF56DD" w:rsidP="00FF56DD">
            <w:pPr>
              <w:jc w:val="center"/>
              <w:rPr>
                <w:color w:val="000000" w:themeColor="text1"/>
                <w:sz w:val="20"/>
                <w:szCs w:val="20"/>
              </w:rPr>
            </w:pPr>
          </w:p>
        </w:tc>
      </w:tr>
    </w:tbl>
    <w:p w14:paraId="4D529600" w14:textId="77777777" w:rsidR="00A24BC6" w:rsidRDefault="00A24BC6">
      <w:pPr>
        <w:rPr>
          <w:b/>
          <w:color w:val="000000" w:themeColor="text1"/>
        </w:rPr>
      </w:pPr>
    </w:p>
    <w:tbl>
      <w:tblPr>
        <w:tblW w:w="13431"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6"/>
        <w:gridCol w:w="4656"/>
        <w:gridCol w:w="2706"/>
        <w:gridCol w:w="1348"/>
        <w:gridCol w:w="1905"/>
      </w:tblGrid>
      <w:tr w:rsidR="009B1A79" w14:paraId="6460C7EC" w14:textId="7574A270" w:rsidTr="003F53EE">
        <w:trPr>
          <w:trHeight w:val="761"/>
        </w:trPr>
        <w:tc>
          <w:tcPr>
            <w:tcW w:w="2988" w:type="dxa"/>
          </w:tcPr>
          <w:p w14:paraId="6E9850CD" w14:textId="73A87CB1" w:rsidR="00A24BC6" w:rsidRPr="00A24BC6" w:rsidRDefault="00A24BC6" w:rsidP="00A24BC6">
            <w:pPr>
              <w:ind w:left="17"/>
              <w:rPr>
                <w:bCs/>
                <w:color w:val="000000" w:themeColor="text1"/>
              </w:rPr>
            </w:pPr>
            <w:r w:rsidRPr="00A24BC6">
              <w:rPr>
                <w:bCs/>
                <w:color w:val="000000" w:themeColor="text1"/>
              </w:rPr>
              <w:t>11</w:t>
            </w:r>
            <w:r w:rsidR="003F53EE">
              <w:rPr>
                <w:bCs/>
                <w:color w:val="000000" w:themeColor="text1"/>
              </w:rPr>
              <w:t>a</w:t>
            </w:r>
            <w:r w:rsidR="008E2F0A">
              <w:rPr>
                <w:bCs/>
                <w:color w:val="000000" w:themeColor="text1"/>
              </w:rPr>
              <w:t>.</w:t>
            </w:r>
            <w:r w:rsidRPr="00A24BC6">
              <w:rPr>
                <w:bCs/>
                <w:color w:val="000000" w:themeColor="text1"/>
              </w:rPr>
              <w:t xml:space="preserve"> Increase transit supply</w:t>
            </w:r>
          </w:p>
        </w:tc>
        <w:tc>
          <w:tcPr>
            <w:tcW w:w="5007" w:type="dxa"/>
          </w:tcPr>
          <w:p w14:paraId="007CF232" w14:textId="0CF2C942" w:rsidR="00A24BC6" w:rsidRPr="00A24BC6" w:rsidRDefault="00A24BC6" w:rsidP="00A24BC6">
            <w:pPr>
              <w:ind w:left="17"/>
              <w:rPr>
                <w:bCs/>
                <w:color w:val="000000" w:themeColor="text1"/>
              </w:rPr>
            </w:pPr>
            <w:r w:rsidRPr="00A24BC6">
              <w:rPr>
                <w:bCs/>
                <w:color w:val="000000" w:themeColor="text1"/>
              </w:rPr>
              <w:t>US 90 W study, increas</w:t>
            </w:r>
            <w:r>
              <w:rPr>
                <w:bCs/>
                <w:color w:val="000000" w:themeColor="text1"/>
              </w:rPr>
              <w:t xml:space="preserve">e </w:t>
            </w:r>
            <w:r w:rsidR="009B1A79">
              <w:rPr>
                <w:bCs/>
                <w:color w:val="000000" w:themeColor="text1"/>
              </w:rPr>
              <w:t>D4c by 50%</w:t>
            </w:r>
            <w:r w:rsidR="00EC14BC">
              <w:rPr>
                <w:bCs/>
                <w:color w:val="000000" w:themeColor="text1"/>
              </w:rPr>
              <w:t xml:space="preserve"> for TAZs within study area. </w:t>
            </w:r>
          </w:p>
        </w:tc>
        <w:tc>
          <w:tcPr>
            <w:tcW w:w="1887" w:type="dxa"/>
          </w:tcPr>
          <w:p w14:paraId="60564252" w14:textId="41146254" w:rsidR="00A24BC6" w:rsidRDefault="0079565D" w:rsidP="00A24BC6">
            <w:pPr>
              <w:ind w:left="17"/>
              <w:rPr>
                <w:bCs/>
                <w:color w:val="000000" w:themeColor="text1"/>
              </w:rPr>
            </w:pPr>
            <w:r>
              <w:rPr>
                <w:bCs/>
                <w:color w:val="000000" w:themeColor="text1"/>
              </w:rPr>
              <w:t>b</w:t>
            </w:r>
            <w:r w:rsidR="00FA7BDC" w:rsidRPr="0079565D">
              <w:rPr>
                <w:bCs/>
                <w:color w:val="000000" w:themeColor="text1"/>
              </w:rPr>
              <w:t>zone</w:t>
            </w:r>
            <w:r>
              <w:rPr>
                <w:bCs/>
                <w:color w:val="000000" w:themeColor="text1"/>
              </w:rPr>
              <w:t>_transit_service.csv</w:t>
            </w:r>
          </w:p>
          <w:p w14:paraId="78C2507A" w14:textId="3BDE75B4" w:rsidR="0079565D" w:rsidRPr="0079565D" w:rsidRDefault="0079565D" w:rsidP="00A24BC6">
            <w:pPr>
              <w:ind w:left="17"/>
              <w:rPr>
                <w:bCs/>
                <w:color w:val="000000" w:themeColor="text1"/>
              </w:rPr>
            </w:pPr>
          </w:p>
        </w:tc>
        <w:tc>
          <w:tcPr>
            <w:tcW w:w="1457" w:type="dxa"/>
          </w:tcPr>
          <w:p w14:paraId="4A312244" w14:textId="77777777" w:rsidR="00A24BC6" w:rsidRDefault="00A24BC6" w:rsidP="00A24BC6">
            <w:pPr>
              <w:ind w:left="17"/>
              <w:rPr>
                <w:b/>
                <w:color w:val="000000" w:themeColor="text1"/>
              </w:rPr>
            </w:pPr>
          </w:p>
        </w:tc>
        <w:tc>
          <w:tcPr>
            <w:tcW w:w="2068" w:type="dxa"/>
          </w:tcPr>
          <w:p w14:paraId="168897E1" w14:textId="77777777" w:rsidR="00A24BC6" w:rsidRDefault="00A24BC6" w:rsidP="00A24BC6">
            <w:pPr>
              <w:ind w:left="17"/>
              <w:rPr>
                <w:b/>
                <w:color w:val="000000" w:themeColor="text1"/>
              </w:rPr>
            </w:pPr>
          </w:p>
        </w:tc>
      </w:tr>
    </w:tbl>
    <w:tbl>
      <w:tblPr>
        <w:tblpPr w:leftFromText="180" w:rightFromText="180" w:vertAnchor="text" w:horzAnchor="margin" w:tblpY="64"/>
        <w:tblW w:w="13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5"/>
        <w:gridCol w:w="4544"/>
        <w:gridCol w:w="3209"/>
        <w:gridCol w:w="1420"/>
        <w:gridCol w:w="1260"/>
      </w:tblGrid>
      <w:tr w:rsidR="00CE5B89" w14:paraId="6D6021E4" w14:textId="4A2115F9" w:rsidTr="00CE5B89">
        <w:trPr>
          <w:trHeight w:val="1058"/>
        </w:trPr>
        <w:tc>
          <w:tcPr>
            <w:tcW w:w="2965" w:type="dxa"/>
          </w:tcPr>
          <w:p w14:paraId="6E347457" w14:textId="69DD868E" w:rsidR="003F53EE" w:rsidRDefault="008E2F0A" w:rsidP="003F53EE">
            <w:r>
              <w:t>11b. Increase worker telework/carpool/transit participation rate</w:t>
            </w:r>
          </w:p>
        </w:tc>
        <w:tc>
          <w:tcPr>
            <w:tcW w:w="4544" w:type="dxa"/>
          </w:tcPr>
          <w:p w14:paraId="31450434" w14:textId="1FE34592" w:rsidR="003F53EE" w:rsidRDefault="008E2F0A" w:rsidP="003F53EE">
            <w:r>
              <w:t xml:space="preserve">For TAZs within US 90 W study area, increase worker telework/carpool/transit participation rate </w:t>
            </w:r>
            <w:r w:rsidR="00031F86">
              <w:t>from zero to</w:t>
            </w:r>
            <w:r>
              <w:t xml:space="preserve"> 35%</w:t>
            </w:r>
          </w:p>
        </w:tc>
        <w:tc>
          <w:tcPr>
            <w:tcW w:w="3209" w:type="dxa"/>
          </w:tcPr>
          <w:p w14:paraId="57FECA9A" w14:textId="77777777" w:rsidR="003F53EE" w:rsidRDefault="00515185" w:rsidP="003F53EE">
            <w:r>
              <w:t>bzone_travel_demand_mgt.csv</w:t>
            </w:r>
          </w:p>
          <w:p w14:paraId="419F5D2C" w14:textId="497992BA" w:rsidR="00515185" w:rsidRDefault="00515185" w:rsidP="003F53EE"/>
        </w:tc>
        <w:tc>
          <w:tcPr>
            <w:tcW w:w="1420" w:type="dxa"/>
          </w:tcPr>
          <w:p w14:paraId="180384C6" w14:textId="77777777" w:rsidR="003F53EE" w:rsidRDefault="003F53EE" w:rsidP="003F53EE"/>
        </w:tc>
        <w:tc>
          <w:tcPr>
            <w:tcW w:w="1260" w:type="dxa"/>
          </w:tcPr>
          <w:p w14:paraId="7254CF31" w14:textId="77777777" w:rsidR="003F53EE" w:rsidRDefault="003F53EE" w:rsidP="003F53EE"/>
        </w:tc>
      </w:tr>
    </w:tbl>
    <w:tbl>
      <w:tblPr>
        <w:tblW w:w="1339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5"/>
        <w:gridCol w:w="4424"/>
        <w:gridCol w:w="3217"/>
        <w:gridCol w:w="1242"/>
        <w:gridCol w:w="1772"/>
      </w:tblGrid>
      <w:tr w:rsidR="004B7260" w14:paraId="03307CD2" w14:textId="77777777" w:rsidTr="000E0201">
        <w:trPr>
          <w:trHeight w:val="1114"/>
        </w:trPr>
        <w:tc>
          <w:tcPr>
            <w:tcW w:w="2975" w:type="dxa"/>
          </w:tcPr>
          <w:p w14:paraId="6D6849EC" w14:textId="267F1112" w:rsidR="00CE5B89" w:rsidRDefault="00CE5B89" w:rsidP="007238D4">
            <w:pPr>
              <w:ind w:left="8"/>
            </w:pPr>
            <w:r>
              <w:t>11c. Combine transit supply and employee travel demand management</w:t>
            </w:r>
          </w:p>
        </w:tc>
        <w:tc>
          <w:tcPr>
            <w:tcW w:w="5043" w:type="dxa"/>
          </w:tcPr>
          <w:p w14:paraId="54E8E017" w14:textId="63CAD7D8" w:rsidR="00CE5B89" w:rsidRDefault="00FA7BDC" w:rsidP="007238D4">
            <w:pPr>
              <w:ind w:left="8"/>
            </w:pPr>
            <w:r>
              <w:t>Combine 11a and 11b as one scenario.</w:t>
            </w:r>
          </w:p>
        </w:tc>
        <w:tc>
          <w:tcPr>
            <w:tcW w:w="1879" w:type="dxa"/>
          </w:tcPr>
          <w:p w14:paraId="6FB309AE" w14:textId="5D014E0A" w:rsidR="00CE5B89" w:rsidRDefault="004B7260" w:rsidP="007238D4">
            <w:pPr>
              <w:ind w:left="8"/>
            </w:pPr>
            <w:r>
              <w:t>bzone_transit_service.csv</w:t>
            </w:r>
          </w:p>
          <w:p w14:paraId="3D60354F" w14:textId="42943F2F" w:rsidR="004B7260" w:rsidRDefault="004B7260" w:rsidP="007238D4">
            <w:pPr>
              <w:ind w:left="8"/>
            </w:pPr>
            <w:r>
              <w:t>bzone_travel_demand_mgt.csv</w:t>
            </w:r>
          </w:p>
          <w:p w14:paraId="04E9A7DA" w14:textId="47F5D7AF" w:rsidR="004B7260" w:rsidRDefault="004B7260" w:rsidP="007238D4">
            <w:pPr>
              <w:ind w:left="8"/>
            </w:pPr>
          </w:p>
        </w:tc>
        <w:tc>
          <w:tcPr>
            <w:tcW w:w="1432" w:type="dxa"/>
          </w:tcPr>
          <w:p w14:paraId="12D91357" w14:textId="77777777" w:rsidR="00CE5B89" w:rsidRDefault="00CE5B89" w:rsidP="007238D4">
            <w:pPr>
              <w:ind w:left="8"/>
            </w:pPr>
          </w:p>
        </w:tc>
        <w:tc>
          <w:tcPr>
            <w:tcW w:w="2061" w:type="dxa"/>
          </w:tcPr>
          <w:p w14:paraId="2CC7AC7A" w14:textId="77777777" w:rsidR="00CE5B89" w:rsidRDefault="00CE5B89" w:rsidP="007238D4">
            <w:pPr>
              <w:ind w:left="8"/>
            </w:pPr>
          </w:p>
        </w:tc>
      </w:tr>
    </w:tbl>
    <w:p w14:paraId="36398817" w14:textId="77777777" w:rsidR="003F53EE" w:rsidRDefault="003F53EE"/>
    <w:p w14:paraId="000000CC" w14:textId="77777777" w:rsidR="008951E9" w:rsidRDefault="008951E9">
      <w:pPr>
        <w:rPr>
          <w:b/>
        </w:rPr>
      </w:pPr>
    </w:p>
    <w:p w14:paraId="000000CD" w14:textId="77777777" w:rsidR="008951E9" w:rsidRDefault="008951E9">
      <w:pPr>
        <w:pBdr>
          <w:top w:val="nil"/>
          <w:left w:val="nil"/>
          <w:bottom w:val="nil"/>
          <w:right w:val="nil"/>
          <w:between w:val="nil"/>
        </w:pBdr>
        <w:spacing w:after="160"/>
      </w:pPr>
    </w:p>
    <w:sectPr w:rsidR="008951E9">
      <w:pgSz w:w="15840" w:h="12240" w:orient="landscape"/>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ric Englin" w:date="2022-10-03T16:10:00Z" w:initials="">
    <w:p w14:paraId="000000CF" w14:textId="77777777" w:rsidR="008951E9" w:rsidRDefault="00406B61">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Question for Sharon - any way for us to compile the results? combining geographies (core, suburb, rural), performance metrics (VMT, transit trips, bike trips, etc.)</w:t>
      </w:r>
    </w:p>
  </w:comment>
  <w:comment w:id="2" w:author="Eric Englin" w:date="2022-10-03T16:16:00Z" w:initials="">
    <w:p w14:paraId="000000D0" w14:textId="77777777" w:rsidR="008951E9" w:rsidRDefault="00406B61">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Would need to shapefile if we want to combine geographies</w:t>
      </w:r>
    </w:p>
  </w:comment>
  <w:comment w:id="1" w:author="Ju, Sharon" w:date="2022-10-18T11:47:00Z" w:initials="JS">
    <w:p w14:paraId="4E9EE91C" w14:textId="033DE45F" w:rsidR="00FF632E" w:rsidRDefault="00FF632E">
      <w:pPr>
        <w:pStyle w:val="CommentText"/>
      </w:pPr>
      <w:r>
        <w:rPr>
          <w:rStyle w:val="CommentReference"/>
        </w:rPr>
        <w:annotationRef/>
      </w:r>
      <w:r>
        <w:t xml:space="preserve">I could define similar geographies in GIS. </w:t>
      </w:r>
    </w:p>
  </w:comment>
  <w:comment w:id="3" w:author="Eric Englin" w:date="2022-10-03T15:56:00Z" w:initials="">
    <w:p w14:paraId="000000CE" w14:textId="77777777" w:rsidR="008951E9" w:rsidRDefault="00406B61">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Should match 3a from VDOT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CF" w15:done="0"/>
  <w15:commentEx w15:paraId="000000D0" w15:paraIdParent="000000CF" w15:done="0"/>
  <w15:commentEx w15:paraId="4E9EE91C" w15:paraIdParent="000000CF" w15:done="0"/>
  <w15:commentEx w15:paraId="000000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910BC" w16cex:dateUtc="2022-10-18T1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CF" w16cid:durableId="26F7DA8C"/>
  <w16cid:commentId w16cid:paraId="000000D0" w16cid:durableId="26F7DA8B"/>
  <w16cid:commentId w16cid:paraId="4E9EE91C" w16cid:durableId="26F910BC"/>
  <w16cid:commentId w16cid:paraId="000000CE" w16cid:durableId="26F7DA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B280D"/>
    <w:multiLevelType w:val="multilevel"/>
    <w:tmpl w:val="7FF09E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573607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 Sharon">
    <w15:presenceInfo w15:providerId="AD" w15:userId="S::ju@h-gac.com::c7fd27d1-439d-4de2-9d70-3e386f7a86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1E9"/>
    <w:rsid w:val="00031F86"/>
    <w:rsid w:val="00074B9D"/>
    <w:rsid w:val="00081FCC"/>
    <w:rsid w:val="00084EDA"/>
    <w:rsid w:val="000A53EB"/>
    <w:rsid w:val="000B5F40"/>
    <w:rsid w:val="000E0201"/>
    <w:rsid w:val="001141EE"/>
    <w:rsid w:val="00144A85"/>
    <w:rsid w:val="00160353"/>
    <w:rsid w:val="0017232A"/>
    <w:rsid w:val="00176DB6"/>
    <w:rsid w:val="0019005E"/>
    <w:rsid w:val="00194482"/>
    <w:rsid w:val="001F3F00"/>
    <w:rsid w:val="002039E4"/>
    <w:rsid w:val="002058BF"/>
    <w:rsid w:val="00225F10"/>
    <w:rsid w:val="00230F8E"/>
    <w:rsid w:val="00273D53"/>
    <w:rsid w:val="00274539"/>
    <w:rsid w:val="00284B35"/>
    <w:rsid w:val="002C4E66"/>
    <w:rsid w:val="002C6D78"/>
    <w:rsid w:val="002E5D4C"/>
    <w:rsid w:val="003C2519"/>
    <w:rsid w:val="003E50E6"/>
    <w:rsid w:val="003F53EE"/>
    <w:rsid w:val="00406B61"/>
    <w:rsid w:val="00411079"/>
    <w:rsid w:val="00494D48"/>
    <w:rsid w:val="004B7260"/>
    <w:rsid w:val="004C2FFD"/>
    <w:rsid w:val="004C65AF"/>
    <w:rsid w:val="00515185"/>
    <w:rsid w:val="005651A3"/>
    <w:rsid w:val="00574B7B"/>
    <w:rsid w:val="00582188"/>
    <w:rsid w:val="005D205F"/>
    <w:rsid w:val="005D4A07"/>
    <w:rsid w:val="005D6139"/>
    <w:rsid w:val="005E03C1"/>
    <w:rsid w:val="005F3EF2"/>
    <w:rsid w:val="00632DF5"/>
    <w:rsid w:val="00652BEC"/>
    <w:rsid w:val="006733C0"/>
    <w:rsid w:val="00687035"/>
    <w:rsid w:val="006A3BD2"/>
    <w:rsid w:val="006A782C"/>
    <w:rsid w:val="006E3702"/>
    <w:rsid w:val="00704A88"/>
    <w:rsid w:val="007216A3"/>
    <w:rsid w:val="00723547"/>
    <w:rsid w:val="007238D4"/>
    <w:rsid w:val="007379AD"/>
    <w:rsid w:val="00772802"/>
    <w:rsid w:val="00772BE8"/>
    <w:rsid w:val="00773AE4"/>
    <w:rsid w:val="0079565D"/>
    <w:rsid w:val="007F568F"/>
    <w:rsid w:val="008034EF"/>
    <w:rsid w:val="00850F13"/>
    <w:rsid w:val="00882EA8"/>
    <w:rsid w:val="008951E9"/>
    <w:rsid w:val="008E2F0A"/>
    <w:rsid w:val="008F4121"/>
    <w:rsid w:val="009005B7"/>
    <w:rsid w:val="00941173"/>
    <w:rsid w:val="0096583A"/>
    <w:rsid w:val="009750FA"/>
    <w:rsid w:val="00991370"/>
    <w:rsid w:val="009B1A79"/>
    <w:rsid w:val="009E0386"/>
    <w:rsid w:val="00A24BC6"/>
    <w:rsid w:val="00A50758"/>
    <w:rsid w:val="00A50FFF"/>
    <w:rsid w:val="00AD2FFB"/>
    <w:rsid w:val="00BA5298"/>
    <w:rsid w:val="00BF17C5"/>
    <w:rsid w:val="00BF29CF"/>
    <w:rsid w:val="00C30B8D"/>
    <w:rsid w:val="00C47CD6"/>
    <w:rsid w:val="00C62F88"/>
    <w:rsid w:val="00CD73D3"/>
    <w:rsid w:val="00CE5B89"/>
    <w:rsid w:val="00CF4C8A"/>
    <w:rsid w:val="00D024F9"/>
    <w:rsid w:val="00D120D0"/>
    <w:rsid w:val="00D83855"/>
    <w:rsid w:val="00D83E41"/>
    <w:rsid w:val="00D91B39"/>
    <w:rsid w:val="00D97CA5"/>
    <w:rsid w:val="00DF1359"/>
    <w:rsid w:val="00E26F42"/>
    <w:rsid w:val="00E372C1"/>
    <w:rsid w:val="00E972D0"/>
    <w:rsid w:val="00EC14BC"/>
    <w:rsid w:val="00EE023B"/>
    <w:rsid w:val="00F228BF"/>
    <w:rsid w:val="00F45AAF"/>
    <w:rsid w:val="00F55E3B"/>
    <w:rsid w:val="00FA7BDC"/>
    <w:rsid w:val="00FD6FE8"/>
    <w:rsid w:val="00FF56DD"/>
    <w:rsid w:val="00FF6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2661D"/>
  <w15:docId w15:val="{5C3E8D47-61BA-4B56-8436-44B01974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88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75376"/>
    <w:pPr>
      <w:ind w:left="720"/>
      <w:contextualSpacing/>
    </w:pPr>
  </w:style>
  <w:style w:type="paragraph" w:styleId="Date">
    <w:name w:val="Date"/>
    <w:basedOn w:val="Normal"/>
    <w:next w:val="Normal"/>
    <w:link w:val="DateChar"/>
    <w:uiPriority w:val="99"/>
    <w:semiHidden/>
    <w:unhideWhenUsed/>
    <w:rsid w:val="00CD7097"/>
  </w:style>
  <w:style w:type="character" w:customStyle="1" w:styleId="DateChar">
    <w:name w:val="Date Char"/>
    <w:basedOn w:val="DefaultParagraphFont"/>
    <w:link w:val="Date"/>
    <w:uiPriority w:val="99"/>
    <w:semiHidden/>
    <w:rsid w:val="00CD7097"/>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F632E"/>
    <w:rPr>
      <w:b/>
      <w:bCs/>
    </w:rPr>
  </w:style>
  <w:style w:type="character" w:customStyle="1" w:styleId="CommentSubjectChar">
    <w:name w:val="Comment Subject Char"/>
    <w:basedOn w:val="CommentTextChar"/>
    <w:link w:val="CommentSubject"/>
    <w:uiPriority w:val="99"/>
    <w:semiHidden/>
    <w:rsid w:val="00FF632E"/>
    <w:rPr>
      <w:b/>
      <w:bCs/>
      <w:sz w:val="20"/>
      <w:szCs w:val="20"/>
    </w:rPr>
  </w:style>
  <w:style w:type="table" w:styleId="TableGrid">
    <w:name w:val="Table Grid"/>
    <w:basedOn w:val="TableNormal"/>
    <w:uiPriority w:val="39"/>
    <w:rsid w:val="00A24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629869">
      <w:bodyDiv w:val="1"/>
      <w:marLeft w:val="0"/>
      <w:marRight w:val="0"/>
      <w:marTop w:val="0"/>
      <w:marBottom w:val="0"/>
      <w:divBdr>
        <w:top w:val="none" w:sz="0" w:space="0" w:color="auto"/>
        <w:left w:val="none" w:sz="0" w:space="0" w:color="auto"/>
        <w:bottom w:val="none" w:sz="0" w:space="0" w:color="auto"/>
        <w:right w:val="none" w:sz="0" w:space="0" w:color="auto"/>
      </w:divBdr>
    </w:div>
    <w:div w:id="914164766">
      <w:bodyDiv w:val="1"/>
      <w:marLeft w:val="0"/>
      <w:marRight w:val="0"/>
      <w:marTop w:val="0"/>
      <w:marBottom w:val="0"/>
      <w:divBdr>
        <w:top w:val="none" w:sz="0" w:space="0" w:color="auto"/>
        <w:left w:val="none" w:sz="0" w:space="0" w:color="auto"/>
        <w:bottom w:val="none" w:sz="0" w:space="0" w:color="auto"/>
        <w:right w:val="none" w:sz="0" w:space="0" w:color="auto"/>
      </w:divBdr>
    </w:div>
    <w:div w:id="1030491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Vq1DBR6OdAk1YwLahsod58Mr5w==">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ED8F8B5-02E5-44A1-996C-A0BCAFDC5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7260</TotalTime>
  <Pages>6</Pages>
  <Words>1781</Words>
  <Characters>10154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 Sharon</dc:creator>
  <cp:keywords/>
  <dc:description/>
  <cp:lastModifiedBy>Ju, Sharon</cp:lastModifiedBy>
  <cp:revision>1</cp:revision>
  <dcterms:created xsi:type="dcterms:W3CDTF">2023-06-15T18:22:00Z</dcterms:created>
  <dcterms:modified xsi:type="dcterms:W3CDTF">2023-08-11T22:09:00Z</dcterms:modified>
</cp:coreProperties>
</file>