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0"/>
        </w:rPr>
        <w:t>Variables del modelo: efecto del choque petrolero de 2022 sobre los subsidios a combustibles fósiles en LATAM</w:t>
      </w:r>
    </w:p>
    <w:p>
      <w:pPr>
        <w:spacing w:after="120"/>
      </w:pPr>
      <w:r>
        <w:t>Documento de especificación de variables. Define la variable dependiente, las variables independientes y los efectos fijos del modelo, con la intuición económica de cada una. Panel: 34 países de América Latina y el Caribe, 2015-2023 (306 observaciones país-año). Fuente principal: IMF Fossil Fuel Subsidies Database; complementos: precio Brent (EIA) e indicadores fiscales (WEO, FMI).</w:t>
      </w:r>
    </w:p>
    <w:p>
      <w:pPr>
        <w:spacing w:before="240" w:after="80"/>
      </w:pPr>
      <w:r>
        <w:rPr>
          <w:b/>
          <w:sz w:val="28"/>
        </w:rPr>
        <w:t>1. Variable dependiente</w:t>
      </w:r>
    </w:p>
    <w:p>
      <w:pPr>
        <w:spacing w:after="120"/>
      </w:pPr>
      <w:r>
        <w:t>Subsidio explícito a los combustibles fósiles, como porcentaje del PIB (expl_pctgdp).</w:t>
      </w:r>
    </w:p>
    <w:p>
      <w:pPr>
        <w:spacing w:after="120"/>
      </w:pPr>
      <w:r>
        <w:t>Intuición. El subsidio explícito es la brecha entre el precio al consumidor y el costo de suministro del combustible. Es el componente que reacciona al choque de precio en el corto plazo: cuando sube el costo internacional y el gobierno no lo traslada al precio al consumidor, la brecha (el subsidio) se amplía. Se expresa como porcentaje del PIB porque la pregunta del ejercicio es fiscal: cuánto presupuesto, en relación al tamaño de la economía, cuesta sostener el subsidio.</w:t>
      </w:r>
    </w:p>
    <w:p>
      <w:pPr>
        <w:spacing w:after="120"/>
      </w:pPr>
      <w:r>
        <w:t>No se usa como dependiente principal el subsidio implícito (externalidades e IVA no aplicado) ni el total, porque dependen del volumen consumido y de parámetros de daño ambiental, no del precio internacional, y por tanto apenas responden al choque en el corto plazo. Se reservan como verificación descriptiva.</w:t>
      </w:r>
    </w:p>
    <w:p>
      <w:pPr>
        <w:spacing w:before="240" w:after="80"/>
      </w:pPr>
      <w:r>
        <w:rPr>
          <w:b/>
          <w:sz w:val="28"/>
        </w:rPr>
        <w:t>2. Variables independientes</w:t>
      </w:r>
    </w:p>
    <w:p>
      <w:pPr>
        <w:spacing w:after="80"/>
      </w:pPr>
      <w:r>
        <w:t>La variable de interés es la interacción entre el choque y la exposición fiscal:</w:t>
      </w:r>
    </w:p>
    <w:p>
      <w:pPr>
        <w:ind w:left="454"/>
      </w:pPr>
      <w:r>
        <w:rPr>
          <w:b/>
        </w:rPr>
        <w:t>Post2022 × Exportador neto</w:t>
      </w:r>
    </w:p>
    <w:p>
      <w:pPr>
        <w:spacing w:after="120"/>
      </w:pPr>
      <w:r>
        <w:t>Post2022. Indicador que vale 1 para los años 2022-2023 (post-choque) y 0 para 2015-2021 (pre-choque). Marca el momento del choque, que fue exógeno y súbito (alza del Brent tras la invasión de Ucrania, febrero de 2022).</w:t>
      </w:r>
    </w:p>
    <w:p>
      <w:pPr>
        <w:spacing w:after="120"/>
      </w:pPr>
      <w:r>
        <w:t>Exportador neto. Clasifica a cada país según su exposición fiscal neta al precio del petróleo, no según su producción de crudo. En los exportadores netos (7 países) el alza del Brent infla la renta petrolera que financia el subsidio; en los importadores netos (27 países) encarece el costo de suministro y agrava el gasto. Esta es la dimensión que genera respuestas opuestas al mismo choque, y es la base de la recomendación de política.</w:t>
      </w:r>
    </w:p>
    <w:p>
      <w:pPr>
        <w:spacing w:after="120"/>
      </w:pPr>
      <w:r>
        <w:t>La interacción Post2022 × Exportador neto. Su coeficiente (β₃) es el parámetro de interés: mide cuánto cambió el subsidio en los exportadores respecto a los importadores al pasar del período pre-choque al post-choque. Es un efecto diferencial entre grupos, no el efecto del precio en niveles.</w:t>
      </w:r>
    </w:p>
    <w:p>
      <w:pPr>
        <w:spacing w:after="120"/>
      </w:pPr>
      <w:r>
        <w:t>Los términos Post2022 y Exportador neto por separado no entran sueltos en la estimación: quedan absorbidos por los efectos fijos (Post2022 por el efecto fijo de año; Exportador neto por el efecto fijo de país, al ser una característica fija de cada país). Se nombran para explicar el origen de la interacción.</w:t>
      </w:r>
    </w:p>
    <w:p>
      <w:pPr>
        <w:spacing w:before="240" w:after="80"/>
      </w:pPr>
      <w:r>
        <w:rPr>
          <w:b/>
          <w:sz w:val="28"/>
        </w:rPr>
        <w:t>3. Efectos fijos</w:t>
      </w:r>
    </w:p>
    <w:p>
      <w:pPr>
        <w:spacing w:after="120"/>
      </w:pPr>
      <w:r>
        <w:t>Efecto fijo de país. Absorbe todo lo que es constante en cada país (su nivel estructural de subsidio, su condición de exportador o importador, su geografía e instituciones). Permite que la comparación sea dentro de cada país a lo largo del tiempo.</w:t>
      </w:r>
    </w:p>
    <w:p>
      <w:pPr>
        <w:spacing w:after="120"/>
      </w:pPr>
      <w:r>
        <w:t>Efecto fijo de año. Absorbe todo lo común a todos los países en cada año, incluido el propio precio del Brent (que es una serie global, idéntica para todos los países en un año dado) y otros shocks globales como la pandemia. Por esta razón el precio del Brent no entra como regresor independiente: sería colineal con el efecto fijo de año. La identificación del efecto del choque proviene exclusivamente de la heterogeneidad entre grupos (la interacción), no del precio en niveles.</w:t>
      </w:r>
    </w:p>
    <w:p>
      <w:pPr>
        <w:spacing w:before="240" w:after="80"/>
      </w:pPr>
      <w:r>
        <w:rPr>
          <w:b/>
          <w:sz w:val="28"/>
        </w:rPr>
        <w:t>4. Variables fiscales: insumo para la discusión, no del modelo</w:t>
      </w:r>
    </w:p>
    <w:p>
      <w:pPr>
        <w:spacing w:after="120"/>
      </w:pPr>
      <w:r>
        <w:t>Balance fiscal, deuda pública e ingreso público (todos como % del PIB, fuente WEO del FMI, con cobertura completa para los 34 países). No entran en el modelo causal para mantener limpia la identificación del efecto del choque. Se usan después de estimar, cruzadas con el efecto estimado, para cuantificar la presión presupuestal concreta que el aumento del subsidio representa para cada país y fundamentar la recomendación de política (por ejemplo, el mismo aumento en puntos del PIB pesa distinto en un país con alta deuda y déficit que en uno con espacio fiscal).</w:t>
      </w:r>
    </w:p>
    <w:p>
      <w:pPr>
        <w:spacing w:before="240" w:after="80"/>
      </w:pPr>
      <w:r>
        <w:rPr>
          <w:b/>
          <w:sz w:val="28"/>
        </w:rPr>
        <w:t>5. Variables excluidas y por qué</w:t>
      </w:r>
    </w:p>
    <w:p>
      <w:pPr>
        <w:spacing w:after="120"/>
      </w:pPr>
      <w:r>
        <w:t>Brechas precio-costo por combustible, precios y costos de suministro: son variables intermedias en el canal causal entre el choque (Brent) y el resultado (subsidio); controlarlas sesgaría el efecto estimado. Sirven para describir el mecanismo, no como regresores.</w:t>
      </w:r>
    </w:p>
    <w:p>
      <w:pPr>
        <w:spacing w:after="120"/>
      </w:pPr>
      <w:r>
        <w:t>PIB y población: ya están contenidos en la variable dependiente, que se expresa como porcentaje del PIB; incluirlos sería redundante.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