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40"/>
        <w:jc w:val="center"/>
        <w:rPr/>
      </w:pPr>
      <w:r>
        <w:rPr>
          <w:rFonts w:cs="Times New Roman" w:ascii="Times New Roman" w:hAnsi="Times New Roman"/>
          <w:b/>
          <w:i w:val="false"/>
          <w:sz w:val="28"/>
        </w:rPr>
        <w:t>UNIVERSIDADE DE UBERABA</w:t>
      </w:r>
    </w:p>
    <w:p>
      <w:pPr>
        <w:pStyle w:val="Normal"/>
        <w:spacing w:lineRule="auto" w:line="360" w:before="0" w:after="40"/>
        <w:jc w:val="center"/>
        <w:rPr/>
      </w:pPr>
      <w:r>
        <w:rPr>
          <w:rFonts w:cs="Times New Roman" w:ascii="Times New Roman" w:hAnsi="Times New Roman"/>
          <w:b w:val="false"/>
          <w:i w:val="false"/>
          <w:sz w:val="24"/>
        </w:rPr>
        <w:t>UNIUBE</w:t>
      </w:r>
    </w:p>
    <w:p>
      <w:pPr>
        <w:pStyle w:val="Normal"/>
        <w:spacing w:lineRule="auto" w:line="360" w:before="0" w:after="40"/>
        <w:jc w:val="center"/>
        <w:rPr/>
      </w:pPr>
      <w:r>
        <w:rPr>
          <w:rFonts w:cs="Times New Roman" w:ascii="Times New Roman" w:hAnsi="Times New Roman"/>
          <w:b w:val="false"/>
          <w:i w:val="false"/>
          <w:sz w:val="24"/>
        </w:rPr>
        <w:t>Curso de Sistemas de Informação</w:t>
      </w:r>
    </w:p>
    <w:p>
      <w:pPr>
        <w:pStyle w:val="Normal"/>
        <w:spacing w:lineRule="auto" w:line="360" w:before="0" w:after="360"/>
        <w:jc w:val="center"/>
        <w:rPr/>
      </w:pPr>
      <w:r>
        <w:rPr>
          <w:rFonts w:cs="Times New Roman" w:ascii="Times New Roman" w:hAnsi="Times New Roman"/>
          <w:b w:val="false"/>
          <w:i w:val="false"/>
          <w:sz w:val="24"/>
        </w:rPr>
        <w:t>Polo Uberlândia</w:t>
      </w:r>
    </w:p>
    <w:p>
      <w:pPr>
        <w:pStyle w:val="Normal"/>
        <w:spacing w:lineRule="auto" w:line="360" w:before="0" w:after="240"/>
        <w:jc w:val="center"/>
        <w:rPr/>
      </w:pPr>
      <w:r>
        <w:rPr>
          <w:rFonts w:cs="Times New Roman" w:ascii="Times New Roman" w:hAnsi="Times New Roman"/>
          <w:b w:val="false"/>
          <w:i/>
          <w:sz w:val="24"/>
        </w:rPr>
        <w:t>Trabalho de Conclusão de Curso: Relato de Experiência do Projeto Integrado</w:t>
      </w:r>
    </w:p>
    <w:p>
      <w:pPr>
        <w:pStyle w:val="Normal"/>
        <w:spacing w:lineRule="auto" w:line="360" w:before="0" w:after="160"/>
        <w:jc w:val="center"/>
        <w:rPr/>
      </w:pPr>
      <w:r>
        <w:rPr>
          <w:rFonts w:cs="Times New Roman" w:ascii="Times New Roman" w:hAnsi="Times New Roman"/>
          <w:b/>
          <w:i w:val="false"/>
          <w:sz w:val="32"/>
        </w:rPr>
        <w:t>Relatório sobre o desenvolvimento e a implantação de um sistema de informação de apoio ao Observatório Social do Brasil em Uberlândia/MG: coleta, consulta e análise de licitações públicas</w:t>
      </w:r>
    </w:p>
    <w:p>
      <w:pPr>
        <w:pStyle w:val="Normal"/>
        <w:spacing w:lineRule="auto" w:line="360" w:before="0" w:after="480"/>
        <w:jc w:val="center"/>
        <w:rPr/>
      </w:pPr>
      <w:r>
        <w:rPr>
          <w:rFonts w:cs="Times New Roman" w:ascii="Times New Roman" w:hAnsi="Times New Roman"/>
          <w:b w:val="false"/>
          <w:i/>
          <w:sz w:val="24"/>
        </w:rPr>
        <w:t>Relatório acadêmico da atividade extensionista</w:t>
      </w:r>
    </w:p>
    <w:p>
      <w:pPr>
        <w:pStyle w:val="Normal"/>
        <w:spacing w:lineRule="auto" w:line="360" w:before="0" w:after="40"/>
        <w:jc w:val="center"/>
        <w:rPr/>
      </w:pPr>
      <w:r>
        <w:rPr>
          <w:rFonts w:cs="Times New Roman" w:ascii="Times New Roman" w:hAnsi="Times New Roman"/>
          <w:b w:val="false"/>
          <w:i w:val="false"/>
          <w:sz w:val="24"/>
        </w:rPr>
        <w:t>Diôgo Ferreira Moura</w:t>
      </w:r>
    </w:p>
    <w:p>
      <w:pPr>
        <w:pStyle w:val="Normal"/>
        <w:spacing w:lineRule="auto" w:line="360" w:before="0" w:after="720"/>
        <w:jc w:val="center"/>
        <w:rPr/>
      </w:pPr>
      <w:r>
        <w:rPr>
          <w:rFonts w:cs="Times New Roman" w:ascii="Times New Roman" w:hAnsi="Times New Roman"/>
          <w:b w:val="false"/>
          <w:i w:val="false"/>
          <w:sz w:val="24"/>
        </w:rPr>
        <w:t>RA 1030125-2</w:t>
      </w:r>
    </w:p>
    <w:p>
      <w:pPr>
        <w:pStyle w:val="Normal"/>
        <w:spacing w:lineRule="auto" w:line="360" w:before="0" w:after="40"/>
        <w:jc w:val="center"/>
        <w:rPr/>
      </w:pPr>
      <w:r>
        <w:rPr>
          <w:rFonts w:cs="Times New Roman" w:ascii="Times New Roman" w:hAnsi="Times New Roman"/>
          <w:b w:val="false"/>
          <w:i w:val="false"/>
          <w:sz w:val="24"/>
        </w:rPr>
        <w:t>Uberlândia / MG</w:t>
      </w:r>
    </w:p>
    <w:p>
      <w:pPr>
        <w:pStyle w:val="Normal"/>
        <w:spacing w:lineRule="auto" w:line="360" w:before="0" w:after="240"/>
        <w:jc w:val="center"/>
        <w:rPr/>
      </w:pPr>
      <w:r>
        <w:rPr>
          <w:rFonts w:cs="Times New Roman" w:ascii="Times New Roman" w:hAnsi="Times New Roman"/>
          <w:b w:val="false"/>
          <w:i w:val="false"/>
          <w:sz w:val="24"/>
        </w:rPr>
        <w:t>Agosto de 2026</w:t>
      </w:r>
    </w:p>
    <w:p>
      <w:pPr>
        <w:pStyle w:val="Normal"/>
        <w:rPr/>
      </w:pPr>
      <w:r>
        <w:rPr/>
      </w:r>
      <w:r>
        <w:br w:type="page"/>
      </w:r>
    </w:p>
    <w:p>
      <w:pPr>
        <w:pStyle w:val="Normal"/>
        <w:spacing w:lineRule="auto" w:line="360" w:before="0" w:after="240"/>
        <w:jc w:val="left"/>
        <w:rPr/>
      </w:pPr>
      <w:r>
        <w:rPr>
          <w:rFonts w:cs="Times New Roman" w:ascii="Times New Roman" w:hAnsi="Times New Roman"/>
          <w:b/>
          <w:i w:val="false"/>
          <w:sz w:val="26"/>
        </w:rPr>
        <w:t>SUMÁRIO</w:t>
      </w:r>
    </w:p>
    <w:p>
      <w:pPr>
        <w:pStyle w:val="Normal"/>
        <w:spacing w:lineRule="auto" w:line="360" w:before="0" w:after="80"/>
        <w:jc w:val="left"/>
        <w:rPr/>
      </w:pPr>
      <w:r>
        <w:rPr>
          <w:rFonts w:cs="Times New Roman" w:ascii="Times New Roman" w:hAnsi="Times New Roman"/>
          <w:b w:val="false"/>
          <w:i w:val="false"/>
          <w:sz w:val="24"/>
        </w:rPr>
        <w:t>1 Introdução</w:t>
      </w:r>
    </w:p>
    <w:p>
      <w:pPr>
        <w:pStyle w:val="Normal"/>
        <w:spacing w:lineRule="auto" w:line="360" w:before="0" w:after="80"/>
        <w:jc w:val="left"/>
        <w:rPr/>
      </w:pPr>
      <w:r>
        <w:rPr>
          <w:rFonts w:cs="Times New Roman" w:ascii="Times New Roman" w:hAnsi="Times New Roman"/>
          <w:b w:val="false"/>
          <w:i w:val="false"/>
          <w:sz w:val="24"/>
        </w:rPr>
        <w:t>1.1 Apresentação do tema</w:t>
      </w:r>
    </w:p>
    <w:p>
      <w:pPr>
        <w:pStyle w:val="Normal"/>
        <w:spacing w:lineRule="auto" w:line="360" w:before="0" w:after="80"/>
        <w:jc w:val="left"/>
        <w:rPr/>
      </w:pPr>
      <w:r>
        <w:rPr>
          <w:rFonts w:cs="Times New Roman" w:ascii="Times New Roman" w:hAnsi="Times New Roman"/>
          <w:b w:val="false"/>
          <w:i w:val="false"/>
          <w:sz w:val="24"/>
        </w:rPr>
        <w:t>1.2 Problema</w:t>
      </w:r>
    </w:p>
    <w:p>
      <w:pPr>
        <w:pStyle w:val="Normal"/>
        <w:spacing w:lineRule="auto" w:line="360" w:before="0" w:after="80"/>
        <w:jc w:val="left"/>
        <w:rPr/>
      </w:pPr>
      <w:r>
        <w:rPr>
          <w:rFonts w:cs="Times New Roman" w:ascii="Times New Roman" w:hAnsi="Times New Roman"/>
          <w:b w:val="false"/>
          <w:i w:val="false"/>
          <w:sz w:val="24"/>
        </w:rPr>
        <w:t>1.3 Justificativa</w:t>
      </w:r>
    </w:p>
    <w:p>
      <w:pPr>
        <w:pStyle w:val="Normal"/>
        <w:spacing w:lineRule="auto" w:line="360" w:before="0" w:after="80"/>
        <w:jc w:val="left"/>
        <w:rPr/>
      </w:pPr>
      <w:r>
        <w:rPr>
          <w:rFonts w:cs="Times New Roman" w:ascii="Times New Roman" w:hAnsi="Times New Roman"/>
          <w:b w:val="false"/>
          <w:i w:val="false"/>
          <w:sz w:val="24"/>
        </w:rPr>
        <w:t>1.4 Objetivos</w:t>
      </w:r>
    </w:p>
    <w:p>
      <w:pPr>
        <w:pStyle w:val="Normal"/>
        <w:spacing w:lineRule="auto" w:line="360" w:before="0" w:after="80"/>
        <w:jc w:val="left"/>
        <w:rPr/>
      </w:pPr>
      <w:r>
        <w:rPr>
          <w:rFonts w:cs="Times New Roman" w:ascii="Times New Roman" w:hAnsi="Times New Roman"/>
          <w:b w:val="false"/>
          <w:i w:val="false"/>
          <w:sz w:val="24"/>
        </w:rPr>
        <w:t>2 Desenvolvimento</w:t>
      </w:r>
    </w:p>
    <w:p>
      <w:pPr>
        <w:pStyle w:val="Normal"/>
        <w:spacing w:lineRule="auto" w:line="360" w:before="0" w:after="80"/>
        <w:jc w:val="left"/>
        <w:rPr/>
      </w:pPr>
      <w:r>
        <w:rPr>
          <w:rFonts w:cs="Times New Roman" w:ascii="Times New Roman" w:hAnsi="Times New Roman"/>
          <w:b w:val="false"/>
          <w:i w:val="false"/>
          <w:sz w:val="24"/>
        </w:rPr>
        <w:t>2.1 Fundamentação teórica</w:t>
      </w:r>
    </w:p>
    <w:p>
      <w:pPr>
        <w:pStyle w:val="Normal"/>
        <w:spacing w:lineRule="auto" w:line="360" w:before="0" w:after="80"/>
        <w:jc w:val="left"/>
        <w:rPr/>
      </w:pPr>
      <w:r>
        <w:rPr>
          <w:rFonts w:cs="Times New Roman" w:ascii="Times New Roman" w:hAnsi="Times New Roman"/>
          <w:b w:val="false"/>
          <w:i w:val="false"/>
          <w:sz w:val="24"/>
        </w:rPr>
        <w:t>2.2 Metodologia</w:t>
      </w:r>
    </w:p>
    <w:p>
      <w:pPr>
        <w:pStyle w:val="Normal"/>
        <w:spacing w:lineRule="auto" w:line="360" w:before="0" w:after="80"/>
        <w:jc w:val="left"/>
        <w:rPr/>
      </w:pPr>
      <w:r>
        <w:rPr>
          <w:rFonts w:cs="Times New Roman" w:ascii="Times New Roman" w:hAnsi="Times New Roman"/>
          <w:b w:val="false"/>
          <w:i w:val="false"/>
          <w:sz w:val="24"/>
        </w:rPr>
        <w:t>2.3 Resultados e discussões</w:t>
      </w:r>
    </w:p>
    <w:p>
      <w:pPr>
        <w:pStyle w:val="Normal"/>
        <w:spacing w:lineRule="auto" w:line="360" w:before="0" w:after="80"/>
        <w:jc w:val="left"/>
        <w:rPr/>
      </w:pPr>
      <w:r>
        <w:rPr>
          <w:rFonts w:cs="Times New Roman" w:ascii="Times New Roman" w:hAnsi="Times New Roman"/>
          <w:b w:val="false"/>
          <w:i w:val="false"/>
          <w:sz w:val="24"/>
        </w:rPr>
        <w:t>3 Conclusão</w:t>
      </w:r>
    </w:p>
    <w:p>
      <w:pPr>
        <w:pStyle w:val="Normal"/>
        <w:spacing w:lineRule="auto" w:line="360" w:before="0" w:after="80"/>
        <w:jc w:val="left"/>
        <w:rPr/>
      </w:pPr>
      <w:r>
        <w:rPr>
          <w:rFonts w:cs="Times New Roman" w:ascii="Times New Roman" w:hAnsi="Times New Roman"/>
          <w:b w:val="false"/>
          <w:i w:val="false"/>
          <w:sz w:val="24"/>
        </w:rPr>
        <w:t>4 Referências</w:t>
      </w:r>
    </w:p>
    <w:p>
      <w:pPr>
        <w:pStyle w:val="Normal"/>
        <w:rPr/>
      </w:pPr>
      <w:r>
        <w:rPr/>
      </w:r>
      <w:r>
        <w:br w:type="page"/>
      </w:r>
    </w:p>
    <w:p>
      <w:pPr>
        <w:pStyle w:val="Normal"/>
        <w:spacing w:lineRule="auto" w:line="360" w:before="0" w:after="160"/>
        <w:jc w:val="left"/>
        <w:rPr/>
      </w:pPr>
      <w:r>
        <w:rPr>
          <w:rFonts w:cs="Times New Roman" w:ascii="Times New Roman" w:hAnsi="Times New Roman"/>
          <w:b/>
          <w:i w:val="false"/>
          <w:sz w:val="26"/>
        </w:rPr>
        <w:t>1 INTRODUÇÃO</w:t>
      </w:r>
    </w:p>
    <w:p>
      <w:pPr>
        <w:pStyle w:val="Normal"/>
        <w:spacing w:lineRule="auto" w:line="360" w:before="0" w:after="160"/>
        <w:ind w:firstLine="709"/>
        <w:jc w:val="both"/>
        <w:rPr/>
      </w:pPr>
      <w:r>
        <w:rPr>
          <w:rFonts w:cs="Times New Roman" w:ascii="Times New Roman" w:hAnsi="Times New Roman"/>
          <w:b w:val="false"/>
          <w:i w:val="false"/>
          <w:sz w:val="24"/>
        </w:rPr>
        <w:t>Este relatório descreve, em formato acadêmico, a experiência que tive no Projeto Integrado de Extensão e que agora entra no Trabalho de Conclusão de Curso. A organização parceira foi o Observatório Social do Brasil de Uberlândia, o OSB. A ação que executei foi criar, implantar e colocar em uso um sistema de informação de apoio ao acompanhamento das licitações dos órgãos de Uberlândia. O endereço público, no domínio da entidade, é https://licitacoes.osbrasiluberlandia.org/. O texto segue a NBR 14724 na apresentação, a NBR 10520 nas citações e a NBR 6023 nas referências (ASSOCIAÇÃO BRASILEIRA DE NORMAS TÉCNICAS, 2011, 2018, 2023). Boa parte do que organizei na primeira semana deste componente reaparece aqui, agora dentro das seções de um trabalho acadêmico: introdução, desenvolvimento e conclusão.</w:t>
      </w:r>
    </w:p>
    <w:p>
      <w:pPr>
        <w:pStyle w:val="Normal"/>
        <w:spacing w:lineRule="auto" w:line="360" w:before="200" w:after="160"/>
        <w:jc w:val="left"/>
        <w:rPr/>
      </w:pPr>
      <w:r>
        <w:rPr>
          <w:rFonts w:cs="Times New Roman" w:ascii="Times New Roman" w:hAnsi="Times New Roman"/>
          <w:b/>
          <w:i w:val="false"/>
          <w:sz w:val="24"/>
        </w:rPr>
        <w:t>1.1 Apresentação do tema</w:t>
      </w:r>
    </w:p>
    <w:p>
      <w:pPr>
        <w:pStyle w:val="Normal"/>
        <w:spacing w:before="0" w:after="80"/>
        <w:ind w:hanging="0"/>
        <w:jc w:val="center"/>
        <w:rPr/>
      </w:pPr>
      <w:r>
        <w:rPr/>
        <w:drawing>
          <wp:inline distT="0" distB="0" distL="0" distR="0">
            <wp:extent cx="2339975" cy="8318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339975" cy="831850"/>
                    </a:xfrm>
                    <a:prstGeom prst="rect">
                      <a:avLst/>
                    </a:prstGeom>
                  </pic:spPr>
                </pic:pic>
              </a:graphicData>
            </a:graphic>
          </wp:inline>
        </w:drawing>
      </w:r>
    </w:p>
    <w:p>
      <w:pPr>
        <w:pStyle w:val="Normal"/>
        <w:spacing w:lineRule="auto" w:line="360" w:before="0" w:after="160"/>
        <w:ind w:firstLine="709"/>
        <w:jc w:val="both"/>
        <w:rPr/>
      </w:pPr>
      <w:r>
        <w:rPr>
          <w:rFonts w:cs="Times New Roman" w:ascii="Times New Roman" w:hAnsi="Times New Roman"/>
          <w:b w:val="false"/>
          <w:i w:val="false"/>
          <w:sz w:val="24"/>
        </w:rPr>
        <w:t>O tema deste estudo é o desenvolvimento e a implantação de um sistema de informação de apoio a uma organização da sociedade civil que acompanha compra pública municipal. Não é um curso, não é oficina e não é cartilha. É um software em produção, feito para a rotina de quem observa licitação em Uberlândia. A entidade parceira foi o Observatório Social do Brasil de Uberlândia. Organização da sociedade civil, apartidária, sem fins lucrativos. CNPJ 23.497.346/0001-42. Endereço que usei no acompanhamento: Av. Vasconcelos Costa, 1500, Sala 3, Anexo I, Bairro Martins, Uberlândia-MG, CEP 38400-452. Telefone (34) 3239-1529. Site: https://www.osbrasiluberlandia.org/. A unidade local existe desde 2015, ligada à associação G7 (a CDL entra nisso) e faz parte da rede nacional do Observatório Social do Brasil.</w:t>
      </w:r>
    </w:p>
    <w:p>
      <w:pPr>
        <w:pStyle w:val="Normal"/>
        <w:spacing w:lineRule="auto" w:line="360" w:before="0" w:after="160"/>
        <w:ind w:firstLine="709"/>
        <w:jc w:val="both"/>
        <w:rPr/>
      </w:pPr>
      <w:r>
        <w:rPr>
          <w:rFonts w:cs="Times New Roman" w:ascii="Times New Roman" w:hAnsi="Times New Roman"/>
          <w:b w:val="false"/>
          <w:i w:val="false"/>
          <w:sz w:val="24"/>
        </w:rPr>
        <w:t>O que eles se propõem é despertar cidadania fiscal, no sentido de a sociedade acompanhar o uso do dinheiro público. Em Uberlândia isso aparece em duas frentes. Uma é o acompanhamento das licitações da Prefeitura e das autarquias e fundações (DMAE, FUTEL, EMAM, IPREMU, FERUB, ARESAN, PRODAUB e a Câmara). A outra é olhar a atuação dos vereadores. Eu atuei na primeira frente. Foi a que mais consumia tempo de planilha e foi o pedido mais claro da entidade: um sistema de apoio para reunir, consultar e analisar essas licitações, em vez de copiar processo por processo do portal para a planilha Cronograma. O pedido era a ferramenta. O que a API era, e o fato de já existir uma API oficial de transparência para essas compras, não estava no vocabulário da equipe. Isso veio depois, de forma indireta, junto com o uso do sistema.</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Campo</w:t>
            </w:r>
          </w:p>
        </w:tc>
        <w:tc>
          <w:tcPr>
            <w:tcW w:w="470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Informação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Nome</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Observatório Social do Brasil de Uberlândia</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CNPJ</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23.497.346/0001-42</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Natureza</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OSC apartidária, sem fins lucrativos</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CNAE principal</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94.99-5-00  Atividades associativas</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Contato operacional</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Marco Aurélio Freitas Santos  (34) 9979-6169</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Ponte institucional</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Lécia Queiroz (CDL Uberlândia)</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Site</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https://www.osbrasiluberlandia.org/</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Sistema de apoio</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https://licitacoes.osbrasiluberlandia.org/</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1. Identificação da organização parceira e do sistema de apoio</w:t>
      </w:r>
    </w:p>
    <w:p>
      <w:pPr>
        <w:pStyle w:val="Normal"/>
        <w:spacing w:lineRule="auto" w:line="360" w:before="0" w:after="200"/>
        <w:jc w:val="center"/>
        <w:rPr/>
      </w:pPr>
      <w:r>
        <w:rPr>
          <w:rFonts w:cs="Times New Roman" w:ascii="Times New Roman" w:hAnsi="Times New Roman"/>
          <w:b w:val="false"/>
          <w:i w:val="false"/>
          <w:sz w:val="18"/>
        </w:rPr>
        <w:t>Fonte: registros do projeto e material da entidade (2026).</w:t>
      </w:r>
    </w:p>
    <w:p>
      <w:pPr>
        <w:pStyle w:val="Normal"/>
        <w:spacing w:lineRule="auto" w:line="360" w:before="200" w:after="160"/>
        <w:jc w:val="left"/>
        <w:rPr/>
      </w:pPr>
      <w:r>
        <w:rPr>
          <w:rFonts w:cs="Times New Roman" w:ascii="Times New Roman" w:hAnsi="Times New Roman"/>
          <w:b/>
          <w:i w:val="false"/>
          <w:sz w:val="24"/>
        </w:rPr>
        <w:t>1.2 Problema</w:t>
      </w:r>
    </w:p>
    <w:p>
      <w:pPr>
        <w:pStyle w:val="Normal"/>
        <w:spacing w:lineRule="auto" w:line="360" w:before="0" w:after="160"/>
        <w:ind w:firstLine="709"/>
        <w:jc w:val="both"/>
        <w:rPr/>
      </w:pPr>
      <w:r>
        <w:rPr>
          <w:rFonts w:cs="Times New Roman" w:ascii="Times New Roman" w:hAnsi="Times New Roman"/>
          <w:b w:val="false"/>
          <w:i w:val="false"/>
          <w:sz w:val="24"/>
        </w:rPr>
        <w:t>Dado público, no papel, não falta. Tem a Lei de Acesso à Informação, o decreto de dados abertos e a Lei 14.133, com o PNCP (BRASIL, 2011, 2016, 2021). O problema que eu vi no escritório era outro: o dado existia, mas o uso ainda era manual. Toda semana alguém entra no portal, copia processo, cola na planilha Cronograma e só depois analisa. Zuiderwijk e Janssen (2014) falam disso: publicar não é o mesmo que usar. Foi esse desencontro que justificou a intervenção: criar um sistema de apoio à coleta e à consulta, no tamanho da entidade. Não era falha da API federal. A API de Dados Abertos do Compras.gov entrou depois, quando o sistema já existia. O problema da entidade era a digitação repetida.</w:t>
      </w:r>
    </w:p>
    <w:p>
      <w:pPr>
        <w:pStyle w:val="Normal"/>
        <w:spacing w:lineRule="auto" w:line="360" w:before="0" w:after="160"/>
        <w:ind w:firstLine="709"/>
        <w:jc w:val="both"/>
        <w:rPr/>
      </w:pPr>
      <w:r>
        <w:rPr>
          <w:rFonts w:cs="Times New Roman" w:ascii="Times New Roman" w:hAnsi="Times New Roman"/>
          <w:b w:val="false"/>
          <w:i w:val="false"/>
          <w:sz w:val="24"/>
        </w:rPr>
        <w:t>A rotina que me mostraram é mais ou menos assim. Abre o site da prefeitura, transcreve para o Cronograma, monta o acompanhamento. Ao mesmo tempo consulta o Comprasnet pelas UASGs de Uberlândia e o Power BI da PMU. Esse painel atrasava, eles mesmos comentaram. Cada fonte descreve o processo de um jeito, com campo e código diferentes. O relatório de quadrimestre depende disso. Se a semana atrasava, o quadrimestre atrasava junto. O Comprasnet, para eles, era o site em que a pessoa pesquisa. Não havia, na rotina, a ideia de API: um canal em que o dado oficial já sai pronto para o sistema consumir, sem copiar a tela. Essa API de transparência das compras públicas já existia; o que faltava era o conhecimento e o uso.</w:t>
      </w:r>
    </w:p>
    <w:p>
      <w:pPr>
        <w:pStyle w:val="Normal"/>
        <w:spacing w:lineRule="auto" w:line="360" w:before="0" w:after="160"/>
        <w:ind w:firstLine="709"/>
        <w:jc w:val="both"/>
        <w:rPr/>
      </w:pPr>
      <w:r>
        <w:rPr>
          <w:rFonts w:cs="Times New Roman" w:ascii="Times New Roman" w:hAnsi="Times New Roman"/>
          <w:b w:val="false"/>
          <w:i w:val="false"/>
          <w:sz w:val="24"/>
        </w:rPr>
        <w:t>As unidades compradoras que eles já acompanhavam no portal Comprasnet, e que orientei o recorte do sistema, são estas. O portal eles já usavam; a API de transparência dessas mesmas UASGs, não:</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Sigla</w:t>
            </w:r>
          </w:p>
        </w:tc>
        <w:tc>
          <w:tcPr>
            <w:tcW w:w="3135"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Órgão</w:t>
            </w:r>
          </w:p>
        </w:tc>
        <w:tc>
          <w:tcPr>
            <w:tcW w:w="3135"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UASG</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PMU</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Prefeitura Municipal de Uberlândia</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926922</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DMAE</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Departamento Municipal de Água e Esgoto</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926287</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FUTEL</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Fundação Uberlandense do Turismo, Esporte e Lazer</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926038</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ARESAN</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Agência de Regulação dos Serviços de Saneamento</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931351</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FERUB</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Fundação de Excelência Rural de Uberlândia</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930403</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EMAM</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Empresa Municipal de Apoio e Manutenção</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929315</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IPREMU</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Instituto de Previdência dos Servidores Municipais</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929301</w:t>
            </w:r>
          </w:p>
        </w:tc>
      </w:tr>
      <w:tr>
        <w:trPr/>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CAM</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Câmara Municipal de Uberlândia</w:t>
            </w:r>
          </w:p>
        </w:tc>
        <w:tc>
          <w:tcPr>
            <w:tcW w:w="3135"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925010</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2. Unidades compradoras acompanhadas em Uberlândia</w:t>
      </w:r>
    </w:p>
    <w:p>
      <w:pPr>
        <w:pStyle w:val="Normal"/>
        <w:spacing w:lineRule="auto" w:line="360" w:before="0" w:after="200"/>
        <w:jc w:val="center"/>
        <w:rPr/>
      </w:pPr>
      <w:r>
        <w:rPr>
          <w:rFonts w:cs="Times New Roman" w:ascii="Times New Roman" w:hAnsi="Times New Roman"/>
          <w:b w:val="false"/>
          <w:i w:val="false"/>
          <w:sz w:val="18"/>
        </w:rPr>
        <w:t>Fonte: rotina da entidade e API Compras.gov (2026).</w:t>
      </w:r>
    </w:p>
    <w:p>
      <w:pPr>
        <w:pStyle w:val="Normal"/>
        <w:spacing w:lineRule="auto" w:line="360" w:before="200" w:after="160"/>
        <w:jc w:val="left"/>
        <w:rPr/>
      </w:pPr>
      <w:r>
        <w:rPr>
          <w:rFonts w:cs="Times New Roman" w:ascii="Times New Roman" w:hAnsi="Times New Roman"/>
          <w:b/>
          <w:i w:val="false"/>
          <w:sz w:val="24"/>
        </w:rPr>
        <w:t>1.3 Justificativa</w:t>
      </w:r>
    </w:p>
    <w:p>
      <w:pPr>
        <w:pStyle w:val="Normal"/>
        <w:spacing w:lineRule="auto" w:line="360" w:before="0" w:after="160"/>
        <w:ind w:firstLine="709"/>
        <w:jc w:val="both"/>
        <w:rPr/>
      </w:pPr>
      <w:r>
        <w:rPr>
          <w:rFonts w:cs="Times New Roman" w:ascii="Times New Roman" w:hAnsi="Times New Roman"/>
          <w:b w:val="false"/>
          <w:i w:val="false"/>
          <w:sz w:val="24"/>
        </w:rPr>
        <w:t>A justificativa é prosaica. Toda semana o tempo da equipe ia para copiar processo. Sem gente de TI e sem verba fixa para servidor, um sistema grande não ia vingar. O componente pedia ação extensionista em Sistemas de Informação. O pedido da entidade era uma ferramenta de apoio. Essas duas coisas bateram. Pinho e Sacramento (2009), ao tratarem de accountability, lembram que prestar contas, ser transparente e responder por isso não cabem numa palavra só no português. No OSB isso vira coisa de mesa: ler edital, conferir quem ganhou, fechar o quadrimestre. Um sistema que organize a consulta entra exatamente aí, sem pretender substituir o olhar de quem observa.</w:t>
      </w:r>
    </w:p>
    <w:p>
      <w:pPr>
        <w:pStyle w:val="Normal"/>
        <w:spacing w:lineRule="auto" w:line="360" w:before="0" w:after="160"/>
        <w:ind w:firstLine="709"/>
        <w:jc w:val="both"/>
        <w:rPr/>
      </w:pPr>
      <w:r>
        <w:rPr>
          <w:rFonts w:cs="Times New Roman" w:ascii="Times New Roman" w:hAnsi="Times New Roman"/>
          <w:b w:val="false"/>
          <w:i w:val="false"/>
          <w:sz w:val="24"/>
        </w:rPr>
        <w:t>Há ainda o tamanho da operação. É voluntariado. Reunião quase toda semana, em geral na associação comercial. Prestação de contas a cada quatro meses. Quatro usuários no sistema já dão conta. Laudon e Laudon (2014) tratam o sistema de informação como conjunto que coleta, processa, armazena e distribui dado para apoiar decisão. Aqui isso só se sustenta se a ferramenta couber no bolso e na cabeça de quem vai usar. Por isso a intervenção não foi um diagnóstico encerrado em relatório: foi software no ar, no domínio deles, com coleta que pode rodar de madrugada e tela em que a análise começa já com o dado organizado.</w:t>
      </w:r>
    </w:p>
    <w:p>
      <w:pPr>
        <w:pStyle w:val="Normal"/>
        <w:spacing w:lineRule="auto" w:line="360" w:before="200" w:after="160"/>
        <w:jc w:val="left"/>
        <w:rPr/>
      </w:pPr>
      <w:r>
        <w:rPr>
          <w:rFonts w:cs="Times New Roman" w:ascii="Times New Roman" w:hAnsi="Times New Roman"/>
          <w:b/>
          <w:i w:val="false"/>
          <w:sz w:val="24"/>
        </w:rPr>
        <w:t>1.4 Objetivos</w:t>
      </w:r>
    </w:p>
    <w:p>
      <w:pPr>
        <w:pStyle w:val="Normal"/>
        <w:spacing w:lineRule="auto" w:line="360" w:before="0" w:after="160"/>
        <w:ind w:firstLine="709"/>
        <w:jc w:val="both"/>
        <w:rPr/>
      </w:pPr>
      <w:r>
        <w:rPr>
          <w:rFonts w:cs="Times New Roman" w:ascii="Times New Roman" w:hAnsi="Times New Roman"/>
          <w:b w:val="false"/>
          <w:i w:val="false"/>
          <w:sz w:val="24"/>
        </w:rPr>
        <w:t>O objetivo geral foi desenvolver, implantar e disponibilizar um sistema de informação de apoio ao Observatório Social do Brasil de Uberlândia, para a coleta, a consulta e a análise das licitações dos órgãos do município, a partir de fontes oficiais e com custo de operação compatível com uma OSC sem equipe de TI.</w:t>
      </w:r>
    </w:p>
    <w:p>
      <w:pPr>
        <w:pStyle w:val="Normal"/>
        <w:spacing w:lineRule="auto" w:line="360" w:before="0" w:after="160"/>
        <w:ind w:firstLine="709"/>
        <w:jc w:val="both"/>
        <w:rPr/>
      </w:pPr>
      <w:r>
        <w:rPr>
          <w:rFonts w:cs="Times New Roman" w:ascii="Times New Roman" w:hAnsi="Times New Roman"/>
          <w:b w:val="false"/>
          <w:i w:val="false"/>
          <w:sz w:val="24"/>
        </w:rPr>
        <w:t>Os objetivos específicos foram quatro. Primeiro, identificar a rotina da entidade, o problema da coleta manual e o cenário em que o trabalho acontece. Segundo, construir o sistema a partir das fontes que eles já usavam, sem apagar o rastro da origem. Terceiro, colocar a ferramenta em uso, com contas limitadas e endereço no domínio da entidade. Quarto, registrar a interação, as evidências da ação e o retorno da equipe. Não entrou como objetivo consertar API federal, nem cobrir a frente dos vereadores. Isso ficou de fora de propósito.</w:t>
      </w:r>
    </w:p>
    <w:p>
      <w:pPr>
        <w:pStyle w:val="Normal"/>
        <w:spacing w:lineRule="auto" w:line="360" w:before="280" w:after="160"/>
        <w:jc w:val="left"/>
        <w:rPr/>
      </w:pPr>
      <w:r>
        <w:rPr>
          <w:rFonts w:cs="Times New Roman" w:ascii="Times New Roman" w:hAnsi="Times New Roman"/>
          <w:b/>
          <w:i w:val="false"/>
          <w:sz w:val="26"/>
        </w:rPr>
        <w:t>2 DESENVOLVIMENTO</w:t>
      </w:r>
    </w:p>
    <w:p>
      <w:pPr>
        <w:pStyle w:val="Normal"/>
        <w:spacing w:lineRule="auto" w:line="360" w:before="160" w:after="160"/>
        <w:jc w:val="left"/>
        <w:rPr/>
      </w:pPr>
      <w:r>
        <w:rPr>
          <w:rFonts w:cs="Times New Roman" w:ascii="Times New Roman" w:hAnsi="Times New Roman"/>
          <w:b/>
          <w:i w:val="false"/>
          <w:sz w:val="24"/>
        </w:rPr>
        <w:t>2.1 Fundamentação teórica</w:t>
      </w:r>
    </w:p>
    <w:p>
      <w:pPr>
        <w:pStyle w:val="Normal"/>
        <w:spacing w:lineRule="auto" w:line="360" w:before="0" w:after="160"/>
        <w:ind w:firstLine="709"/>
        <w:jc w:val="both"/>
        <w:rPr/>
      </w:pPr>
      <w:r>
        <w:rPr>
          <w:rFonts w:cs="Times New Roman" w:ascii="Times New Roman" w:hAnsi="Times New Roman"/>
          <w:b w:val="false"/>
          <w:i w:val="false"/>
          <w:sz w:val="24"/>
        </w:rPr>
        <w:t>Controle social, no vocabulário da administração pública brasileira, é a participação da sociedade na fiscalização da gestão. Não substitui controle interno nem tribunal de contas. Ocupa um lugar ao lado, com outro tempo. A rede dos Observatórios Sociais do Brasil se apresenta nesse hiato: cidadania fiscal, núcleo municipal, voluntariado, reunião semanal e prestação de contas quadrimestral. Um sistema que ignore essa restrição de gente e de horário tende a ficar sem uso, mesmo com modelo de dados correto.</w:t>
      </w:r>
    </w:p>
    <w:p>
      <w:pPr>
        <w:pStyle w:val="Normal"/>
        <w:spacing w:lineRule="auto" w:line="360" w:before="0" w:after="160"/>
        <w:ind w:firstLine="709"/>
        <w:jc w:val="both"/>
        <w:rPr/>
      </w:pPr>
      <w:r>
        <w:rPr>
          <w:rFonts w:cs="Times New Roman" w:ascii="Times New Roman" w:hAnsi="Times New Roman"/>
          <w:b w:val="false"/>
          <w:i w:val="false"/>
          <w:sz w:val="24"/>
        </w:rPr>
        <w:t>A literatura de dados abertos insiste no mesmo ponto por outro ângulo. Zuiderwijk e Janssen (2014) mostram que publicar dado não é o mesmo que gerar uso. Sem capacidade analítica, o portal é pouco utilizado. No município de médio porte existem painel em Power BI, portal de licitações e PNCP, e mesmo assim o observador continua recortando informação à mão, porque o dado oficial chega em recortes distintos e o cruzamento precisa ser feito por quem consulta. A Lei n. 12.527/2011 impôs a publicidade como regra (BRASIL, 2011). O Decreto n. 8.777/2016 tratou da política federal de dados abertos (BRASIL, 2016). A Lei n. 14.133/2021 reorganizou modalidades e consolidou o PNCP (BRASIL, 2021). Lei nenhuma, sozinha, tira a planilha Cronograma da mesa.</w:t>
      </w:r>
    </w:p>
    <w:p>
      <w:pPr>
        <w:pStyle w:val="Normal"/>
        <w:spacing w:lineRule="auto" w:line="360" w:before="0" w:after="160"/>
        <w:ind w:firstLine="709"/>
        <w:jc w:val="both"/>
        <w:rPr/>
      </w:pPr>
      <w:r>
        <w:rPr>
          <w:rFonts w:cs="Times New Roman" w:ascii="Times New Roman" w:hAnsi="Times New Roman"/>
          <w:b w:val="false"/>
          <w:i w:val="false"/>
          <w:sz w:val="24"/>
        </w:rPr>
        <w:t>Sistemas de informação, nesse contexto, não são um fim. Laudon e Laudon (2014) classificam sistemas de apoio à decisão como aqueles que combinam dados e modelos para ajudar em problema pouco estruturado. O problema do Observatório é desse tipo. O objetivo não é emitir empenho. É observar um conjunto de pregões e verificar se o padrão de vitórias se repete, se o preço destoa, se o fiscal está nomeado. O sistema não responde sozinho. Ele organiza a consulta. Moreira et al. (2020), em estudo de acesso aberto sobre qualidade na recuperação de dados governamentais, tratam dimensões como acurácia, completude, consistência e pontualidade. No projeto, isso virou regra simples: não inventar campo que a fonte não tem; não apagar anotação do observador quando a coleta roda de novo; aceitar que o painel municipal atrasa em relação ao PNCP e mostrar as duas pontas, em vez de escolher uma e fingir que a outra não existe.</w:t>
      </w:r>
    </w:p>
    <w:p>
      <w:pPr>
        <w:pStyle w:val="Normal"/>
        <w:spacing w:lineRule="auto" w:line="360" w:before="0" w:after="160"/>
        <w:ind w:firstLine="709"/>
        <w:jc w:val="both"/>
        <w:rPr/>
      </w:pPr>
      <w:r>
        <w:rPr>
          <w:rFonts w:cs="Times New Roman" w:ascii="Times New Roman" w:hAnsi="Times New Roman"/>
          <w:b w:val="false"/>
          <w:i w:val="false"/>
          <w:sz w:val="24"/>
        </w:rPr>
        <w:t>Do lado da engenharia, Pressman e Maxim (2021) e Sommerville (2018) sustentam o desenvolvimento que vai se ajustando pelo uso, quando o requisito não nasce de um edital interno. Foi o caso. A primeira ideia de raspar o portal da prefeitura com navegador quebrou fácil: layout, sessão, máquina com tela virtual. A fonte estável foram os CSVs oficiais do painel. A API de Dados Abertos do Compras.gov.br entrou depois, para o recorte federal das UASGs que eles já acompanhavam no portal. Troca de caminho no meio, sim. Porque o requisito ficou mais claro depois que a ferramenta começou a ser vista na reunião, e não antes.</w:t>
      </w:r>
    </w:p>
    <w:p>
      <w:pPr>
        <w:pStyle w:val="Normal"/>
        <w:spacing w:lineRule="auto" w:line="360" w:before="160" w:after="160"/>
        <w:jc w:val="left"/>
        <w:rPr/>
      </w:pPr>
      <w:r>
        <w:rPr>
          <w:rFonts w:cs="Times New Roman" w:ascii="Times New Roman" w:hAnsi="Times New Roman"/>
          <w:b/>
          <w:i w:val="false"/>
          <w:sz w:val="24"/>
        </w:rPr>
        <w:t>2.2 Metodologia</w:t>
      </w:r>
    </w:p>
    <w:p>
      <w:pPr>
        <w:pStyle w:val="Normal"/>
        <w:spacing w:lineRule="auto" w:line="360" w:before="0" w:after="160"/>
        <w:ind w:firstLine="709"/>
        <w:jc w:val="both"/>
        <w:rPr/>
      </w:pPr>
      <w:r>
        <w:rPr>
          <w:rFonts w:cs="Times New Roman" w:ascii="Times New Roman" w:hAnsi="Times New Roman"/>
          <w:b w:val="false"/>
          <w:i w:val="false"/>
          <w:sz w:val="24"/>
        </w:rPr>
        <w:t>A ação extensionista não foi um curso. Não houve turma, apostila nem carga horária de sala. O que executei foi o desenvolvimento, a implantação e a disponibilização de um sistema de informação de apoio, com convívio semanal na entidade e duas apresentações formais. Mesmo assim dá para descrever o percurso com clareza, que é o que esta seção pede: como a ação foi feita, com quem, em quanto tempo e com que material.</w:t>
      </w:r>
    </w:p>
    <w:p>
      <w:pPr>
        <w:pStyle w:val="Normal"/>
        <w:spacing w:lineRule="auto" w:line="360" w:before="0" w:after="160"/>
        <w:ind w:firstLine="709"/>
        <w:jc w:val="both"/>
        <w:rPr/>
      </w:pPr>
      <w:r>
        <w:rPr>
          <w:rFonts w:cs="Times New Roman" w:ascii="Times New Roman" w:hAnsi="Times New Roman"/>
          <w:b w:val="false"/>
          <w:i w:val="false"/>
          <w:sz w:val="24"/>
        </w:rPr>
        <w:t>O trabalho mistura pesquisa aplicada com estudo de caso único (GIL, 2022; YIN, 2015). O caso é o Observatório Social do Brasil de Uberlândia/MG (CNPJ 23.497.346/0001-42). Não pretendi amostra estatística de OSCs brasileiras. O intuito foi entender uma operação concreta, construir o sistema e devolvê-lo a quem pediu. Yin (2015) cabe porque as perguntas foram do tipo como e por que: como a equipe junta as fontes hoje, por que o painel municipal não basta e como um sistema pequeno pode entrar na rotina sem ficar abandonado.</w:t>
      </w:r>
    </w:p>
    <w:p>
      <w:pPr>
        <w:pStyle w:val="Normal"/>
        <w:spacing w:lineRule="auto" w:line="360" w:before="0" w:after="160"/>
        <w:ind w:firstLine="709"/>
        <w:jc w:val="both"/>
        <w:rPr/>
      </w:pPr>
      <w:r>
        <w:rPr>
          <w:rFonts w:cs="Times New Roman" w:ascii="Times New Roman" w:hAnsi="Times New Roman"/>
          <w:b w:val="false"/>
          <w:i w:val="false"/>
          <w:sz w:val="24"/>
        </w:rPr>
        <w:t>O contato com a entidade começou em 21 de maio de 2026, às 14h30, depois de uma articulação que deu volta pela CDL. De maio a agosto o convívio foi quase toda semana, em geral na ACIUB, com datashow. A coleta de requisito não começou com gravador. Começou por sentar na rotina deles, ver a planilha Cronograma, o acompanhamento, o Comprasnet e o que mais tomava tempo: achar o processo, cruzar fonte, olhar o fornecedor e fechar o quadrimestre. Material instrucional, no sentido de apostila, eu não preparei. O material foi o próprio sistema, as telas, e depois o artigo que enviei à Revista de Engenharia, TI e Inovação (RETII, ISSN 2966-2508), da Uniube, com o mesmo tema deste relatório.</w:t>
      </w:r>
    </w:p>
    <w:p>
      <w:pPr>
        <w:pStyle w:val="Normal"/>
        <w:spacing w:lineRule="auto" w:line="360" w:before="0" w:after="160"/>
        <w:ind w:firstLine="709"/>
        <w:jc w:val="both"/>
        <w:rPr/>
      </w:pPr>
      <w:r>
        <w:rPr>
          <w:rFonts w:cs="Times New Roman" w:ascii="Times New Roman" w:hAnsi="Times New Roman"/>
          <w:b w:val="false"/>
          <w:i w:val="false"/>
          <w:sz w:val="24"/>
        </w:rPr>
        <w:t>Houve duas ofertas formais da ferramenta, além do uso corrente nas reuniões. No dia 23 de julho de 2026, quinta-feira, das 15h30 às 16h, apresentei na sala de reunião da ACIUB, para a diretoria do Observatório, gente da CDL e da superintendência da ACIUB. Cerca de meia hora. Em 3 de agosto, segunda-feira, das 16h às 17h30, apresentei de novo, desta vez por Microsoft Teams, com o pessoal da sede do Observatório. Uma hora e meia. Nas duas a forma foi a mesma: mostrar o sistema no ar, as telas de consulta e, de passagem, o que é uma API e que o governo já publica dado aberto de compra por esse canal. Não foi aula isolada. Entrou no uso.</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Item</w:t>
            </w:r>
          </w:p>
        </w:tc>
        <w:tc>
          <w:tcPr>
            <w:tcW w:w="470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Descrição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Natureza da ação</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Desenvolvimento e implantação de sistema de informação de apoio (não foi curso).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Período com a entidade</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21/05/2026 a 03/08/2026 (convívio semanal); articulação desde 16/03/2026.</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Forma de oferta</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Software em produção no domínio da entidade; reuniões na ACIUB; duas apresentações formais.</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Apresentação ACIUB</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23/07/2026, 15h30 às 16h (cerca de 30 min), presencial, diretoria / CDL / ACIUB.</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Apresentação sede</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03/08/2026, 16h às 17h30 (1h30), Microsoft Teams.</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Material</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 próprio sistema (telas e base local). Sem apostila. Artigo enviado à RETII (ISSN 2966-2508).</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Usuários</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Até quatro contas: um administrador e três de consulta.</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Hospedagem</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VM AWS, São Paulo, Ubuntu, 1 GB RAM, 2 vCPUs, 40 GB. Free tier até 13/01/2027.</w:t>
            </w:r>
          </w:p>
        </w:tc>
      </w:tr>
    </w:tbl>
    <w:p>
      <w:pPr>
        <w:pStyle w:val="Normal"/>
        <w:spacing w:lineRule="auto" w:line="360" w:before="160" w:after="40"/>
        <w:jc w:val="center"/>
        <w:rPr/>
      </w:pPr>
      <w:r>
        <w:rPr>
          <w:rFonts w:cs="Times New Roman" w:ascii="Times New Roman" w:hAnsi="Times New Roman"/>
          <w:b/>
          <w:i w:val="false"/>
          <w:sz w:val="20"/>
        </w:rPr>
        <w:t>Quadro 3. Síntese da execução da ação extensionista</w:t>
      </w:r>
    </w:p>
    <w:p>
      <w:pPr>
        <w:pStyle w:val="Normal"/>
        <w:spacing w:lineRule="auto" w:line="360" w:before="0" w:after="200"/>
        <w:jc w:val="center"/>
        <w:rPr/>
      </w:pPr>
      <w:r>
        <w:rPr>
          <w:rFonts w:cs="Times New Roman" w:ascii="Times New Roman" w:hAnsi="Times New Roman"/>
          <w:b w:val="false"/>
          <w:i w:val="false"/>
          <w:sz w:val="18"/>
        </w:rPr>
        <w:t>Fonte: registros do projeto (2026).</w:t>
      </w:r>
    </w:p>
    <w:p>
      <w:pPr>
        <w:pStyle w:val="Normal"/>
        <w:spacing w:lineRule="auto" w:line="360" w:before="0" w:after="160"/>
        <w:ind w:firstLine="709"/>
        <w:jc w:val="both"/>
        <w:rPr/>
      </w:pPr>
      <w:r>
        <w:rPr>
          <w:rFonts w:cs="Times New Roman" w:ascii="Times New Roman" w:hAnsi="Times New Roman"/>
          <w:b w:val="false"/>
          <w:i w:val="false"/>
          <w:sz w:val="24"/>
        </w:rPr>
        <w:t>O desenvolvimento foi incremental. Cada fatia (coleta, consulta, painel, autenticação, agendamento, perfil de CNPJ, mapa, análise auxiliar de preço) só avançava depois de a anterior estar utilizável. Escolhi ferramenta barata de manter. FastAPI, SQLite no arquivo data/licitacoes.db, tela estática no mesmo serviço, Docker Compose numa VM da AWS, região de São Paulo, Ubuntu, 1 GB de RAM, 2 vCPUs e 40 GB de disco, no plano gratuito. No máximo quatro contas: um admin e três de consulta. Coleta, Setup, disparo de CNPJ e token de IA só o admin mexe. Não coloquei RabbitMQ, MinIO nem banco gerenciado. Não precisava. Anotação que o observador faz na tela não some quando a coleta roda de novo. Backup diário do SQLite, com pouca retenção, porque disco grátis acaba rápido. O free tier desta conta acaba em 13 de janeiro de 2027, ou antes se o crédito acabar. Falei isso para eles.</w:t>
      </w:r>
    </w:p>
    <w:p>
      <w:pPr>
        <w:pStyle w:val="Normal"/>
        <w:spacing w:lineRule="auto" w:line="360" w:before="0" w:after="160"/>
        <w:ind w:firstLine="709"/>
        <w:jc w:val="both"/>
        <w:rPr/>
      </w:pPr>
      <w:r>
        <w:rPr>
          <w:rFonts w:cs="Times New Roman" w:ascii="Times New Roman" w:hAnsi="Times New Roman"/>
          <w:b w:val="false"/>
          <w:i w:val="false"/>
          <w:sz w:val="24"/>
        </w:rPr>
        <w:t>As fontes oficiais adotadas foram duas. Primeira, os CSVs do painel Power BI da Prefeitura, nas abas de licitações, contratos e gestores/fiscais. Foi com isso que o sistema nasceu. Segunda, a API de Dados Abertos do Compras.gov.br, filtrada para o município de Uberlândia (código IBGE 3170206) e para as UASGs que eles já acompanhavam no portal Comprasnet. Essa API entrou depois. O portal weblicitacoes.uberlandia.mg.gov.br ficou para conferir na mão. Não usei ele como origem da carga. A regra na persistência foi manter o significado dos campos da fonte. A avaliação foi de uso e de consistência, não de experimento com cronômetro. Não medi em minutos o tempo antes e depois. O ganho que eles relatam é de rearranjo do trabalho.</w:t>
      </w:r>
    </w:p>
    <w:p>
      <w:pPr>
        <w:pStyle w:val="Normal"/>
        <w:spacing w:lineRule="auto" w:line="360" w:before="160" w:after="160"/>
        <w:jc w:val="left"/>
        <w:rPr/>
      </w:pPr>
      <w:r>
        <w:rPr>
          <w:rFonts w:cs="Times New Roman" w:ascii="Times New Roman" w:hAnsi="Times New Roman"/>
          <w:b/>
          <w:i w:val="false"/>
          <w:sz w:val="24"/>
        </w:rPr>
        <w:t>2.3 Resultados e discussões</w:t>
      </w:r>
    </w:p>
    <w:p>
      <w:pPr>
        <w:pStyle w:val="Normal"/>
        <w:spacing w:lineRule="auto" w:line="360" w:before="0" w:after="160"/>
        <w:ind w:firstLine="709"/>
        <w:jc w:val="both"/>
        <w:rPr/>
      </w:pPr>
      <w:r>
        <w:rPr>
          <w:rFonts w:cs="Times New Roman" w:ascii="Times New Roman" w:hAnsi="Times New Roman"/>
          <w:b w:val="false"/>
          <w:i w:val="false"/>
          <w:sz w:val="24"/>
        </w:rPr>
        <w:t>O que segue aproveita o registro da primeira semana deste componente: a interação com a organização parceira e as evidências da ação. Não é protótipo de disciplina. Tem print da tela do software, desenho do fluxo, arquitetura, volume carregado, recado da entidade e um exemplo, só no fim, de risco da arquitetura quando a API externa falha. Esse exemplo não redefine o problema da entidade.</w:t>
      </w:r>
    </w:p>
    <w:p>
      <w:pPr>
        <w:pStyle w:val="Normal"/>
        <w:spacing w:lineRule="auto" w:line="360" w:before="160" w:after="160"/>
        <w:jc w:val="left"/>
        <w:rPr/>
      </w:pPr>
      <w:r>
        <w:rPr>
          <w:rFonts w:cs="Times New Roman" w:ascii="Times New Roman" w:hAnsi="Times New Roman"/>
          <w:b/>
          <w:i w:val="false"/>
          <w:sz w:val="22"/>
        </w:rPr>
        <w:t>2.3.1 Interação com a organização parceira</w:t>
      </w:r>
    </w:p>
    <w:p>
      <w:pPr>
        <w:pStyle w:val="Normal"/>
        <w:spacing w:lineRule="auto" w:line="360" w:before="0" w:after="160"/>
        <w:ind w:firstLine="709"/>
        <w:jc w:val="both"/>
        <w:rPr/>
      </w:pPr>
      <w:r>
        <w:rPr>
          <w:rFonts w:cs="Times New Roman" w:ascii="Times New Roman" w:hAnsi="Times New Roman"/>
          <w:b w:val="false"/>
          <w:i w:val="false"/>
          <w:sz w:val="24"/>
        </w:rPr>
        <w:t>Chegar no Observatório deu volta. Em março eu tinha pensado num treinamento de inteligência artificial para associados da CDL. Pensei no Antonio Carlos Oliveira porque ele tinha sido meu professor no curso de Administração, onde me formei, na ESAMC Uberlândia. Conversei com ele no sentido de pedir orientação: como eu poderia dar andamento no trabalho, a quem falar, por onde começar. Ele sugeriu procurar a Lécia Queiroz, da CDL. O resto foi por minha conta. No dia 20 de maio tive reunião presencial com a Lécia na CDL, Av. Belo Horizonte 1290. Ficou claro que colocar o projeto dentro da CDL naquele momento emperrava. Ela me passou o Marco Aurélio Freitas Santos, do OSB. Marcamos no mesmo dia. Fui em 21 de maio, 14h30.</w:t>
      </w:r>
    </w:p>
    <w:p>
      <w:pPr>
        <w:pStyle w:val="Normal"/>
        <w:spacing w:lineRule="auto" w:line="360" w:before="0" w:after="160"/>
        <w:ind w:firstLine="709"/>
        <w:jc w:val="both"/>
        <w:rPr/>
      </w:pPr>
      <w:r>
        <w:rPr>
          <w:rFonts w:cs="Times New Roman" w:ascii="Times New Roman" w:hAnsi="Times New Roman"/>
          <w:b w:val="false"/>
          <w:i w:val="false"/>
          <w:sz w:val="24"/>
        </w:rPr>
        <w:t>O que emperrou foi essa articulação inicial, não o convívio depois. O Antonio Carlos só apontou o caminho. Marcar a Lécia, ir na CDL, falar com o Marco e tocar o sistema foi comigo. Com o OSB o contato foi direto. Quase toda semana.</w:t>
      </w:r>
    </w:p>
    <w:p>
      <w:pPr>
        <w:pStyle w:val="Normal"/>
        <w:spacing w:lineRule="auto" w:line="360" w:before="0" w:after="160"/>
        <w:ind w:firstLine="709"/>
        <w:jc w:val="both"/>
        <w:rPr/>
      </w:pPr>
      <w:r>
        <w:rPr>
          <w:rFonts w:cs="Times New Roman" w:ascii="Times New Roman" w:hAnsi="Times New Roman"/>
          <w:b w:val="false"/>
          <w:i w:val="false"/>
          <w:sz w:val="24"/>
        </w:rPr>
        <w:t>O Marco recebeu o projeto como sistema de apoio ao trabalho de acompanhamento, não como visita de faculdade. A gente se via na rotina deles, na ACIUB, com datashow. Mostrei o que o sistema já fazia e o que ainda estava no meio. Eles me explicaram a planilha Cronograma, o acompanhamento, e o que mais tomava tempo: achar o processo, cruzar com o Comprasnet, olhar o fornecedor e fechar o quadrimestre. Foi essa rotina que o software passou a apoiar. Nas mesmas reuniões eu expliquei, sem jargão de curso, o que é uma API: o jeito de o sistema buscar o dado direto da fonte, sem a pessoa copiar a tela. Mostrei que o governo já oferece isso para transparência das operações públicas, principalmente a API de Dados Abertos do Compras.gov.br. Esse conhecimento não era o objetivo da atividade; veio junto, de forma indireta.</w:t>
      </w:r>
    </w:p>
    <w:p>
      <w:pPr>
        <w:pStyle w:val="Normal"/>
        <w:spacing w:lineRule="auto" w:line="360" w:before="0" w:after="160"/>
        <w:ind w:firstLine="709"/>
        <w:jc w:val="both"/>
        <w:rPr/>
      </w:pPr>
      <w:r>
        <w:rPr>
          <w:rFonts w:cs="Times New Roman" w:ascii="Times New Roman" w:hAnsi="Times New Roman"/>
          <w:b w:val="false"/>
          <w:i w:val="false"/>
          <w:sz w:val="24"/>
        </w:rPr>
        <w:t>No dia 11 de junho, depois de uma dessas reuniões, o Marco mandou a pergunta que virou tela no sistema:</w:t>
      </w:r>
    </w:p>
    <w:p>
      <w:pPr>
        <w:pStyle w:val="Normal"/>
        <w:spacing w:lineRule="auto" w:line="360" w:before="0" w:after="160"/>
        <w:ind w:left="709"/>
        <w:jc w:val="both"/>
        <w:rPr/>
      </w:pPr>
      <w:r>
        <w:rPr>
          <w:rFonts w:cs="Times New Roman" w:ascii="Times New Roman" w:hAnsi="Times New Roman"/>
          <w:b w:val="false"/>
          <w:i/>
          <w:sz w:val="24"/>
        </w:rPr>
        <w:t>"Seria possível extrairmos estatísticas de participação de empresas, % de vitória, quais tipos de objetos ou licitação participa e % de empresas que participam quando esta participa? o que gostaria de avaliar, existem histórias que empresas participam para favorecer uma e vao fazendo rodízio nas vitórias, então gostaria de analisar pela estatística."</w:t>
      </w:r>
    </w:p>
    <w:p>
      <w:pPr>
        <w:pStyle w:val="Normal"/>
        <w:spacing w:lineRule="auto" w:line="360" w:before="0" w:after="160"/>
        <w:jc w:val="right"/>
        <w:rPr/>
      </w:pPr>
      <w:r>
        <w:rPr>
          <w:rFonts w:cs="Times New Roman" w:ascii="Times New Roman" w:hAnsi="Times New Roman"/>
          <w:b w:val="false"/>
          <w:i w:val="false"/>
          <w:sz w:val="20"/>
        </w:rPr>
        <w:t>Marco Aurélio Freitas Santos, WhatsApp, 11 jun. 2026.</w:t>
      </w:r>
    </w:p>
    <w:p>
      <w:pPr>
        <w:pStyle w:val="Normal"/>
        <w:spacing w:lineRule="auto" w:line="360" w:before="0" w:after="160"/>
        <w:ind w:firstLine="709"/>
        <w:jc w:val="both"/>
        <w:rPr/>
      </w:pPr>
      <w:r>
        <w:rPr>
          <w:rFonts w:cs="Times New Roman" w:ascii="Times New Roman" w:hAnsi="Times New Roman"/>
          <w:b w:val="false"/>
          <w:i w:val="false"/>
          <w:sz w:val="24"/>
        </w:rPr>
        <w:t>Na mesma conversa ele me chamou para ser voluntário. Combinamos de deixar isso mais formal depois que a faculdade acabar, para não virar obrigação de curso interno da rede. Também pediram um link no site deles. Ficou https://licitacoes.osbrasiluberlandia.org/. Em 15 de julho a Lécia me escreveu dizendo que o Marco estava contente com o que estava saindo:</w:t>
      </w:r>
    </w:p>
    <w:p>
      <w:pPr>
        <w:pStyle w:val="Normal"/>
        <w:spacing w:lineRule="auto" w:line="360" w:before="0" w:after="160"/>
        <w:ind w:left="709"/>
        <w:jc w:val="both"/>
        <w:rPr/>
      </w:pPr>
      <w:r>
        <w:rPr>
          <w:rFonts w:cs="Times New Roman" w:ascii="Times New Roman" w:hAnsi="Times New Roman"/>
          <w:b w:val="false"/>
          <w:i/>
          <w:sz w:val="24"/>
        </w:rPr>
        <w:t>"Que legal! O Marco tem me informado, ele está muito contente com os resultados!"</w:t>
      </w:r>
    </w:p>
    <w:p>
      <w:pPr>
        <w:pStyle w:val="Normal"/>
        <w:spacing w:lineRule="auto" w:line="360" w:before="0" w:after="160"/>
        <w:jc w:val="right"/>
        <w:rPr/>
      </w:pPr>
      <w:r>
        <w:rPr>
          <w:rFonts w:cs="Times New Roman" w:ascii="Times New Roman" w:hAnsi="Times New Roman"/>
          <w:b w:val="false"/>
          <w:i w:val="false"/>
          <w:sz w:val="20"/>
        </w:rPr>
        <w:t>Lécia Queiroz, CDL Uberlândia, WhatsApp, 15 jul. 2026.</w:t>
      </w:r>
    </w:p>
    <w:p>
      <w:pPr>
        <w:pStyle w:val="Normal"/>
        <w:spacing w:lineRule="auto" w:line="360" w:before="0" w:after="160"/>
        <w:ind w:firstLine="709"/>
        <w:jc w:val="both"/>
        <w:rPr/>
      </w:pPr>
      <w:r>
        <w:rPr>
          <w:rFonts w:cs="Times New Roman" w:ascii="Times New Roman" w:hAnsi="Times New Roman"/>
          <w:b w:val="false"/>
          <w:i w:val="false"/>
          <w:sz w:val="24"/>
        </w:rPr>
        <w:t>Isso não ficou só no WhatsApp. No dia 23 de julho, quinta-feira, das 15h30 às 16h, organizei uma apresentação na sala de reunião da ACIUB. O convite foi para a diretoria do Observatório, gente da CDL e da superintendência da ACIUB. O tema era o sistema de apoio que eu havia criado: a busca das licitações e a automação da coleta. Gostaram bastante da ferramenta. Além da tela, mostrei que a coleta automática não é um truque no site: usa uma API já existente de transparência das compras públicas, a de Dados Abertos do Compras.gov.br, que a maior parte da plateia não conhecia pelo nome.</w:t>
      </w:r>
    </w:p>
    <w:p>
      <w:pPr>
        <w:pStyle w:val="Normal"/>
        <w:spacing w:lineRule="auto" w:line="360" w:before="0" w:after="160"/>
        <w:ind w:firstLine="709"/>
        <w:jc w:val="both"/>
        <w:rPr/>
      </w:pPr>
      <w:r>
        <w:rPr>
          <w:rFonts w:cs="Times New Roman" w:ascii="Times New Roman" w:hAnsi="Times New Roman"/>
          <w:b w:val="false"/>
          <w:i w:val="false"/>
          <w:sz w:val="24"/>
        </w:rPr>
        <w:t>Em 3 de agosto, segunda-feira, das 16h às 17h30, apresentei de novo, desta vez por Microsoft Teams, com o pessoal da sede do Observatório. Também gostaram. Chegaram a pedir um filtro por porte de empresa, para olhar se quem ganha é ME, EPP ou empresa maior. Eu coloquei isso depois, na tela de CNPJs vencedores. Na mesma reunião expliquei de novo o que é API e que essa API federal de transparência já estava disponível, mesmo antes do nosso sistema. Para quem observa licitação no portal, isso costuma passar despercebido.</w:t>
      </w:r>
    </w:p>
    <w:p>
      <w:pPr>
        <w:pStyle w:val="Normal"/>
        <w:spacing w:lineRule="auto" w:line="360" w:before="0" w:after="160"/>
        <w:ind w:firstLine="709"/>
        <w:jc w:val="both"/>
        <w:rPr/>
      </w:pPr>
      <w:r>
        <w:rPr>
          <w:rFonts w:cs="Times New Roman" w:ascii="Times New Roman" w:hAnsi="Times New Roman"/>
          <w:b w:val="false"/>
          <w:i w:val="false"/>
          <w:sz w:val="24"/>
        </w:rPr>
        <w:t>Tive dificuldade no começo com a CDL. O Antonio Carlos orientou, mas não intermediou a reunião. Sem o encaminhamento da Lécia, depois que eu mesmo a procurei, acho que o prazo da disciplina teria travado. No OSB eu não quis chegar com sistema pronto. Quis entender a planilha primeiro. Isso atrasou eu mostrar tudo na nuvem, mas evitou empurrar um jeito de trabalhar que não era o deles.</w:t>
      </w:r>
    </w:p>
    <w:p>
      <w:pPr>
        <w:pStyle w:val="Normal"/>
        <w:spacing w:lineRule="auto" w:line="360" w:before="0" w:after="160"/>
        <w:ind w:firstLine="709"/>
        <w:jc w:val="both"/>
        <w:rPr/>
      </w:pPr>
      <w:r>
        <w:rPr>
          <w:rFonts w:cs="Times New Roman" w:ascii="Times New Roman" w:hAnsi="Times New Roman"/>
          <w:b w:val="false"/>
          <w:i w:val="false"/>
          <w:sz w:val="24"/>
        </w:rPr>
        <w:t>Hospedagem de graça enrolou de verdade. Testei plano da Oracle de madrugada. Tive uma reunião com o pessoal da Nuvolli para ver se dava para ter nuvem sem custo. No fim subi numa VM da AWS, região de São Paulo, Ubuntu, 1 GB de RAM, 2 vCPUs e 40 GB de disco, no plano gratuito. Tem crédito e prazo. O free tier desta conta acaba em 13 de janeiro de 2027, ou antes se o crédito acabar. Quando isso acontecer, se ninguém pagar o plano ou mudar de máquina, o sistema sai do ar. Falei isso para eles. Não é solução eterna. É o que cabia no bolso da entidade agora.</w:t>
      </w:r>
    </w:p>
    <w:p>
      <w:pPr>
        <w:pStyle w:val="Normal"/>
        <w:spacing w:lineRule="auto" w:line="360" w:before="0" w:after="160"/>
        <w:ind w:firstLine="709"/>
        <w:jc w:val="both"/>
        <w:rPr/>
      </w:pPr>
      <w:r>
        <w:rPr>
          <w:rFonts w:cs="Times New Roman" w:ascii="Times New Roman" w:hAnsi="Times New Roman"/>
          <w:b w:val="false"/>
          <w:i w:val="false"/>
          <w:sz w:val="24"/>
        </w:rPr>
        <w:t>Troquei de caminho técnico no meio. Primeiro pensei em raspar o portal da prefeitura com navegador. Quebrou fácil: layout, sessão, máquina com tela virtual. O sistema nasceu assim, com os CSVs oficiais do painel municipal. A API de Dados Abertos do Compras.gov.br entrou depois, quando a ferramenta já existia, para puxar o recorte federal das UASGs que eles já acompanhavam no portal Comprasnet. Pressman e Maxim (2021) e Sommerville (2018) tratam isso como desenvolvimento que vai se ajustando pelo uso. Foi o caso. Quando a API entrou, precisei explicar o que ela é e por que o portal que eles já usavam e a API não são a mesma coisa. Para a equipe, isso era novidade: existia um canal oficial de transparência feito para máquina, e não só a tela de pesquisa.</w:t>
      </w:r>
    </w:p>
    <w:p>
      <w:pPr>
        <w:pStyle w:val="Normal"/>
        <w:spacing w:lineRule="auto" w:line="360" w:before="0" w:after="160"/>
        <w:ind w:firstLine="709"/>
        <w:jc w:val="both"/>
        <w:rPr/>
      </w:pPr>
      <w:r>
        <w:rPr>
          <w:rFonts w:cs="Times New Roman" w:ascii="Times New Roman" w:hAnsi="Times New Roman"/>
          <w:b w:val="false"/>
          <w:i w:val="false"/>
          <w:sz w:val="24"/>
        </w:rPr>
        <w:t>Depois que o sistema já estava no ar, apareceu uma dificuldade que não era da rotina da entidade, e sim do tipo de solução que eu escolhi. O módulo Compras.gov depende de uma API federal de dados abertos. Se essa API deixa de devolver registro, aquela ponta da coleta para de atualizar, mesmo com a compra visível no portal. Isso é um risco passível de qualquer sistema que consome fonte externa. Em agosto ocorreu um caso desses; o detalhe fica mais abaixo, só como exemplo, não como o problema que o Observatório me pediu para resolver. Avisei a entidade do limite. Só deu para avisar com clareza porque, no meio do projeto, a ideia de API já tinha sido apresentada: não é o site que a pessoa vê; é o canal que o sistema consome.</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Data</w:t>
            </w:r>
          </w:p>
        </w:tc>
        <w:tc>
          <w:tcPr>
            <w:tcW w:w="470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O que aconteceu</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16/03/2026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Conversa com Antonio Carlos Oliveira, meu ex-professor de Administração na ESAMC. Pedi orientação; ele sugeriu procurar a Lécia na CDL.</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20/05/2026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Reunião na CDL com Lécia Queiroz, marcada por mim. Encaminhamento ao OSB e contato com Marco Aurélio.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21/05/2026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Primeira reunião no Observatório, 14h30. Apresentação da entidade.</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10/06/2026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Reunião com datashow. Mostrei o que já estava andando e comecei a explicar o que é API e que já existe API federal de transparência das compras.</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11/06/2026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Pedido de estatística de vencedores. Convite a voluntariado. Pedido de link no site.</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17/06/2026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Convite para a prestação de contas do 1o quadrimestre de 2026 (Teams).</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19 a 25/06/2026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Conversa sobre hospedagem gratuita. O sistema já existia (CSV municipal). A API Compras.gov entrou depois; para a equipe, o conceito de API ainda era novo.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15/07/2026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Retorno da Lécia: o Marco estava contente com os resultados.</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23/07/2026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Apresentação na ACIUB, 15h30 às 16h. Além da ferramenta, mostrei a API de Dados Abertos do Compras.gov como fonte oficial de transparência, pouco conhecida na plateia.</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03/08/2026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Reunião no Teams com a sede do OSB, 16h às 17h30. Pediram filtro por porte. Expliquei de novo o que é API e que essa API de transparência já existia.</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07 a 17/08/2026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Exemplo de risco da arquitetura (não do problema da entidade): a API de Dados Abertos parou de devolver registro e o módulo Compras.gov deixou de atualizar. Chamado 56398424.</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4. Síntese da interação com a organização parceira</w:t>
      </w:r>
    </w:p>
    <w:p>
      <w:pPr>
        <w:pStyle w:val="Normal"/>
        <w:spacing w:lineRule="auto" w:line="360" w:before="0" w:after="200"/>
        <w:jc w:val="center"/>
        <w:rPr/>
      </w:pPr>
      <w:r>
        <w:rPr>
          <w:rFonts w:cs="Times New Roman" w:ascii="Times New Roman" w:hAnsi="Times New Roman"/>
          <w:b w:val="false"/>
          <w:i w:val="false"/>
          <w:sz w:val="18"/>
        </w:rPr>
        <w:t>Fonte: WhatsApp, reuniões do projeto e Portal de Serviços (2026).</w:t>
      </w:r>
    </w:p>
    <w:p>
      <w:pPr>
        <w:pStyle w:val="Normal"/>
        <w:spacing w:lineRule="auto" w:line="360" w:before="160" w:after="160"/>
        <w:jc w:val="left"/>
        <w:rPr/>
      </w:pPr>
      <w:r>
        <w:rPr>
          <w:rFonts w:cs="Times New Roman" w:ascii="Times New Roman" w:hAnsi="Times New Roman"/>
          <w:b/>
          <w:i w:val="false"/>
          <w:sz w:val="22"/>
        </w:rPr>
        <w:t>2.3.2 Evidências da ação realizada</w:t>
      </w:r>
    </w:p>
    <w:p>
      <w:pPr>
        <w:pStyle w:val="Normal"/>
        <w:spacing w:lineRule="auto" w:line="360" w:before="0" w:after="160"/>
        <w:ind w:firstLine="709"/>
        <w:jc w:val="both"/>
        <w:rPr/>
      </w:pPr>
      <w:r>
        <w:rPr>
          <w:rFonts w:cs="Times New Roman" w:ascii="Times New Roman" w:hAnsi="Times New Roman"/>
          <w:b w:val="false"/>
          <w:i w:val="false"/>
          <w:sz w:val="24"/>
        </w:rPr>
        <w:t>A proposta de solução que adotei foi desenvolver, implantar e disponibilizar o sistema de apoio. O software junta as fontes oficiais, grava numa base local e oferece telas de consulta (painel, processo, CNPJs vencedores, mapa de localidade e cobertura entre bases). Quem observa deixa de começar o trabalho copiando portal para planilha e passa a começar já com o dado organizado. A análise crítica continua sendo da entidade; o que o sistema tira é a digitação repetida. A planilha Cronograma ainda pode ficar do lado enquanto eles pegam confiança. Trocar ferramenta de uma hora para outra, nesse tipo de entidade, costuma virar ferramenta abandonada.</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Módulo</w:t>
            </w:r>
          </w:p>
        </w:tc>
        <w:tc>
          <w:tcPr>
            <w:tcW w:w="470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Para que serve</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Painel</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Quantidade e valor por situação, órgão e modalidade, nas duas fontes, com filtro de período.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Cobertura entre bases</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 que está no Compras.gov e não no painel municipal, e o inverso, pela chave órgão + ano + processo.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Consulta por processo</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Junta o que houver nas duas bases sobre o mesmo número de processo.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CNPJs vencedores</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Lista de quem ganhou (CNPJ ou CPF): itens, compras, valor homologado, porte, CNAE e município da sede. Filtro por porte pedido pela equipe em 03/08.</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Mapa de localidade</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Sede dos vencedores das licitações (itens homologados). Filtros de período, órgão, modalidade, UF, porte e métrica. Cards com totais e mapa do Brasil, com ranking por UF.</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Propostas abertas</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Itens com prazo PNCP vigente e rotina auxiliar de preço (rascunho, não pesquisa formal).</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Coleta e Setup</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Orquestração das fontes, agendamento noturno, UASGs, usuários e backup (só admin). A ponta Compras.gov usa a API de Dados Abertos. Se a API para, só essa coleta para.</w:t>
            </w:r>
          </w:p>
        </w:tc>
      </w:tr>
    </w:tbl>
    <w:p>
      <w:pPr>
        <w:pStyle w:val="Normal"/>
        <w:spacing w:lineRule="auto" w:line="360" w:before="160" w:after="40"/>
        <w:jc w:val="center"/>
        <w:rPr/>
      </w:pPr>
      <w:r>
        <w:rPr>
          <w:rFonts w:cs="Times New Roman" w:ascii="Times New Roman" w:hAnsi="Times New Roman"/>
          <w:b/>
          <w:i w:val="false"/>
          <w:sz w:val="20"/>
        </w:rPr>
        <w:t>Quadro 5. Módulos do sistema de apoio e uso previsto</w:t>
      </w:r>
    </w:p>
    <w:p>
      <w:pPr>
        <w:pStyle w:val="Normal"/>
        <w:spacing w:lineRule="auto" w:line="360" w:before="0" w:after="200"/>
        <w:jc w:val="center"/>
        <w:rPr/>
      </w:pPr>
      <w:r>
        <w:rPr>
          <w:rFonts w:cs="Times New Roman" w:ascii="Times New Roman" w:hAnsi="Times New Roman"/>
          <w:b w:val="false"/>
          <w:i w:val="false"/>
          <w:sz w:val="18"/>
        </w:rPr>
        <w:t>Fonte: sistema de apoio implantado (2026).</w:t>
      </w:r>
    </w:p>
    <w:p>
      <w:pPr>
        <w:pStyle w:val="Normal"/>
        <w:spacing w:lineRule="auto" w:line="360" w:before="0" w:after="160"/>
        <w:ind w:firstLine="709"/>
        <w:jc w:val="both"/>
        <w:rPr/>
      </w:pPr>
      <w:r>
        <w:rPr>
          <w:rFonts w:cs="Times New Roman" w:ascii="Times New Roman" w:hAnsi="Times New Roman"/>
          <w:b w:val="false"/>
          <w:i w:val="false"/>
          <w:sz w:val="24"/>
        </w:rPr>
        <w:t>A Figura 1 é a tela de login, com a logo do Observatório. Sem usuário e senha a base não fica aberta na internet. Tirei o print na instância local, porta 8096, a mesma aplicação que está no endereço público.</w:t>
      </w:r>
    </w:p>
    <w:p>
      <w:pPr>
        <w:pStyle w:val="Normal"/>
        <w:spacing w:before="0" w:after="80"/>
        <w:ind w:hanging="0"/>
        <w:jc w:val="center"/>
        <w:rPr/>
      </w:pPr>
      <w:r>
        <w:rPr/>
        <w:drawing>
          <wp:inline distT="0" distB="0" distL="0" distR="0">
            <wp:extent cx="5579745" cy="34874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79745" cy="3487420"/>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1. Tela de acesso do sistema de apoio (login)</w:t>
      </w:r>
    </w:p>
    <w:p>
      <w:pPr>
        <w:pStyle w:val="Normal"/>
        <w:spacing w:lineRule="auto" w:line="360" w:before="0" w:after="200"/>
        <w:jc w:val="center"/>
        <w:rPr/>
      </w:pPr>
      <w:r>
        <w:rPr>
          <w:rFonts w:cs="Times New Roman" w:ascii="Times New Roman" w:hAnsi="Times New Roman"/>
          <w:b w:val="false"/>
          <w:i w:val="false"/>
          <w:sz w:val="18"/>
        </w:rPr>
        <w:t>Fonte: captura de tela na instância local, porta 8096 (18 ago. 2026).</w:t>
      </w:r>
    </w:p>
    <w:p>
      <w:pPr>
        <w:pStyle w:val="Normal"/>
        <w:spacing w:lineRule="auto" w:line="360" w:before="0" w:after="160"/>
        <w:ind w:firstLine="709"/>
        <w:jc w:val="both"/>
        <w:rPr/>
      </w:pPr>
      <w:r>
        <w:rPr>
          <w:rFonts w:cs="Times New Roman" w:ascii="Times New Roman" w:hAnsi="Times New Roman"/>
          <w:b w:val="false"/>
          <w:i w:val="false"/>
          <w:sz w:val="24"/>
        </w:rPr>
        <w:t>A Figura 2 é a tela Mapa de localidade. Mostra a sede dos vencedores das licitações, a partir dos itens homologados. Em cima ficam filtros de período, ano, órgão, modalidade, UF do vencedor, porte da empresa e a métrica do mapa (itens homologados, contratações ou valor). Os cards resumem o recorte: itens, contratações, valor homologado, UFs, municípios e a fatia que ficou em Uberlândia versus o que veio de fora. No centro, o mapa do Brasil, por estado ou calor de município. Do lado, o ranking por UF. No print: 6.797 itens homologados, 1.270 contratações, cerca de R$ 1,2 bilhão, 25 UFs e 390 municípios. Cerca de 25,5% dos itens em Uberlândia e 74,5% de fora. A lista nominal desses vencedores, por CNPJ, fica na Figura 3. Mesma instância local da Figura 1.</w:t>
      </w:r>
    </w:p>
    <w:p>
      <w:pPr>
        <w:pStyle w:val="Normal"/>
        <w:spacing w:before="0" w:after="80"/>
        <w:ind w:hanging="0"/>
        <w:jc w:val="center"/>
        <w:rPr/>
      </w:pPr>
      <w:r>
        <w:rPr/>
        <w:drawing>
          <wp:inline distT="0" distB="0" distL="0" distR="0">
            <wp:extent cx="5760085" cy="27679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085" cy="2767965"/>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2. Mapa de localidade dos vencedores das licitações (itens homologados)</w:t>
      </w:r>
    </w:p>
    <w:p>
      <w:pPr>
        <w:pStyle w:val="Normal"/>
        <w:spacing w:lineRule="auto" w:line="360" w:before="0" w:after="200"/>
        <w:jc w:val="center"/>
        <w:rPr/>
      </w:pPr>
      <w:r>
        <w:rPr>
          <w:rFonts w:cs="Times New Roman" w:ascii="Times New Roman" w:hAnsi="Times New Roman"/>
          <w:b w:val="false"/>
          <w:i w:val="false"/>
          <w:sz w:val="18"/>
        </w:rPr>
        <w:t>Fonte: captura de tela na instância local, porta 8096 (18 ago. 2026).</w:t>
      </w:r>
    </w:p>
    <w:p>
      <w:pPr>
        <w:pStyle w:val="Normal"/>
        <w:spacing w:lineRule="auto" w:line="360" w:before="0" w:after="160"/>
        <w:ind w:firstLine="709"/>
        <w:jc w:val="both"/>
        <w:rPr/>
      </w:pPr>
      <w:r>
        <w:rPr>
          <w:rFonts w:cs="Times New Roman" w:ascii="Times New Roman" w:hAnsi="Times New Roman"/>
          <w:b w:val="false"/>
          <w:i w:val="false"/>
          <w:sz w:val="24"/>
        </w:rPr>
        <w:t>A Figura 3 é a tela CNPJs vencedores. Não é o mapa da sede: é a lista de quem ganhou. Cada linha é um fornecedor (CNPJ ou CPF), com quantos itens levou, em quantas compras, o valor homologado e o município da sede. Em cima ficam filtros de período, ano, órgão, modalidade, UF do vencedor, cache do cadastro e porte da empresa, além da busca por nome ou CNPJ. O filtro de porte foi o que a sede do Observatório pediu em 3 de agosto. No print: 2.037 fornecedores consolidados, 16 com cadastro atualizado, 1.833 com cache vencido e 188 CPF. A origem é o resultado homologado do Compras.gov, enriquecido com dados públicos do CNPJ. Essa tela responde à pergunta do Marco sobre estatística de vitória: quem ganha, com que frequência e em que valor. Mesma instância local das Figuras 1 e 2.</w:t>
      </w:r>
    </w:p>
    <w:p>
      <w:pPr>
        <w:pStyle w:val="Normal"/>
        <w:spacing w:before="0" w:after="80"/>
        <w:ind w:hanging="0"/>
        <w:jc w:val="center"/>
        <w:rPr/>
      </w:pPr>
      <w:r>
        <w:rPr/>
        <w:drawing>
          <wp:inline distT="0" distB="0" distL="0" distR="0">
            <wp:extent cx="5760085" cy="27495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60085" cy="2749550"/>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3. Tela de CNPJs vencedores das licitações (fornecedores homologados)</w:t>
      </w:r>
    </w:p>
    <w:p>
      <w:pPr>
        <w:pStyle w:val="Normal"/>
        <w:spacing w:lineRule="auto" w:line="360" w:before="0" w:after="200"/>
        <w:jc w:val="center"/>
        <w:rPr/>
      </w:pPr>
      <w:r>
        <w:rPr>
          <w:rFonts w:cs="Times New Roman" w:ascii="Times New Roman" w:hAnsi="Times New Roman"/>
          <w:b w:val="false"/>
          <w:i w:val="false"/>
          <w:sz w:val="18"/>
        </w:rPr>
        <w:t>Fonte: captura de tela na instância local, porta 8096 (18 ago. 2026).</w:t>
      </w:r>
    </w:p>
    <w:p>
      <w:pPr>
        <w:pStyle w:val="Normal"/>
        <w:spacing w:lineRule="auto" w:line="360" w:before="0" w:after="160"/>
        <w:ind w:firstLine="709"/>
        <w:jc w:val="both"/>
        <w:rPr/>
      </w:pPr>
      <w:r>
        <w:rPr>
          <w:rFonts w:cs="Times New Roman" w:ascii="Times New Roman" w:hAnsi="Times New Roman"/>
          <w:b w:val="false"/>
          <w:i w:val="false"/>
          <w:sz w:val="24"/>
        </w:rPr>
        <w:t>A Figura 4 mostra o antes e o depois da intervenção. Antes, a análise só começava depois de copiar processo do portal para a planilha. Depois da implantação do sistema de apoio, a coleta alimenta a base local e o tempo da reunião vai para ler o processo, e não para digitar de novo o que o portal já tinha. O antes também era conceitual: o dado só existia na tela do portal. O depois inclui saber que o governo já publica o mesmo conteúdo por API de transparência, em especial a de Dados Abertos do Compras.gov.br.</w:t>
      </w:r>
    </w:p>
    <w:p>
      <w:pPr>
        <w:pStyle w:val="Normal"/>
        <w:spacing w:before="0" w:after="80"/>
        <w:ind w:hanging="0"/>
        <w:jc w:val="center"/>
        <w:rPr/>
      </w:pPr>
      <w:r>
        <w:rPr/>
        <w:drawing>
          <wp:inline distT="0" distB="0" distL="0" distR="0">
            <wp:extent cx="5760085" cy="25850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085" cy="2585085"/>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4. Rotina de acompanhamento antes e depois do sistema de apoio</w:t>
      </w:r>
    </w:p>
    <w:p>
      <w:pPr>
        <w:pStyle w:val="Normal"/>
        <w:spacing w:lineRule="auto" w:line="360" w:before="0" w:after="200"/>
        <w:jc w:val="center"/>
        <w:rPr/>
      </w:pPr>
      <w:r>
        <w:rPr>
          <w:rFonts w:cs="Times New Roman" w:ascii="Times New Roman" w:hAnsi="Times New Roman"/>
          <w:b w:val="false"/>
          <w:i w:val="false"/>
          <w:sz w:val="18"/>
        </w:rPr>
        <w:t>Fonte: registros do projeto (2026).</w:t>
      </w:r>
    </w:p>
    <w:p>
      <w:pPr>
        <w:pStyle w:val="Normal"/>
        <w:spacing w:lineRule="auto" w:line="360" w:before="0" w:after="160"/>
        <w:ind w:firstLine="709"/>
        <w:jc w:val="both"/>
        <w:rPr/>
      </w:pPr>
      <w:r>
        <w:rPr>
          <w:rFonts w:cs="Times New Roman" w:ascii="Times New Roman" w:hAnsi="Times New Roman"/>
          <w:b w:val="false"/>
          <w:i w:val="false"/>
          <w:sz w:val="24"/>
        </w:rPr>
        <w:t>A Figura 5 mostra de onde vem o dado (API federal, CSV do painel, cadastro de UASG), o hub de coleta de madrugada, o SQLite e as telas. A ponta Compras.gov foi encaixada depois que o sistema já existia. Nenhuma peça é novidade sozinha. O que importa é caber no tamanho da entidade e não precisar de gente de infraestrutura o tempo todo. A figura também serviu para mostrar à equipe de onde o dado vem, inclusive a API federal, que antes não fazia parte do vocabulário deles. Se essa API deixar de responder, só aquela coleta para; o restante do sistema segue com o CSV municipal.</w:t>
      </w:r>
    </w:p>
    <w:p>
      <w:pPr>
        <w:pStyle w:val="Normal"/>
        <w:spacing w:before="0" w:after="80"/>
        <w:ind w:hanging="0"/>
        <w:jc w:val="center"/>
        <w:rPr/>
      </w:pPr>
      <w:r>
        <w:rPr/>
        <w:drawing>
          <wp:inline distT="0" distB="0" distL="0" distR="0">
            <wp:extent cx="5760085" cy="288988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60085" cy="2889885"/>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5. Arquitetura lógica do sistema de apoio</w:t>
      </w:r>
    </w:p>
    <w:p>
      <w:pPr>
        <w:pStyle w:val="Normal"/>
        <w:spacing w:lineRule="auto" w:line="360" w:before="0" w:after="200"/>
        <w:jc w:val="center"/>
        <w:rPr/>
      </w:pPr>
      <w:r>
        <w:rPr>
          <w:rFonts w:cs="Times New Roman" w:ascii="Times New Roman" w:hAnsi="Times New Roman"/>
          <w:b w:val="false"/>
          <w:i w:val="false"/>
          <w:sz w:val="18"/>
        </w:rPr>
        <w:t>Fonte: registros do projeto (2026).</w:t>
      </w:r>
    </w:p>
    <w:p>
      <w:pPr>
        <w:pStyle w:val="Normal"/>
        <w:spacing w:lineRule="auto" w:line="360" w:before="0" w:after="160"/>
        <w:ind w:firstLine="709"/>
        <w:jc w:val="both"/>
        <w:rPr/>
      </w:pPr>
      <w:r>
        <w:rPr>
          <w:rFonts w:cs="Times New Roman" w:ascii="Times New Roman" w:hAnsi="Times New Roman"/>
          <w:b w:val="false"/>
          <w:i w:val="false"/>
          <w:sz w:val="24"/>
        </w:rPr>
        <w:t>A Tabela 1 sai dos CSVs oficiais do painel da prefeitura, corte em 18 de agosto de 2026. Não é o universo do PNCP. É o recorte com o qual eles já trabalhavam. Gestores e fiscais passam de 36 mil linhas. Ninguém ia conferir isso na planilha Cronograma.</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Conjunto</w:t>
            </w:r>
          </w:p>
        </w:tc>
        <w:tc>
          <w:tcPr>
            <w:tcW w:w="235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2025</w:t>
            </w:r>
          </w:p>
        </w:tc>
        <w:tc>
          <w:tcPr>
            <w:tcW w:w="235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2026 (parcial)</w:t>
            </w:r>
          </w:p>
        </w:tc>
        <w:tc>
          <w:tcPr>
            <w:tcW w:w="2350"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Observação</w:t>
            </w:r>
          </w:p>
        </w:tc>
      </w:tr>
      <w:tr>
        <w:trPr/>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Processos licitatórios</w:t>
            </w:r>
          </w:p>
        </w:tc>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1.215</w:t>
            </w:r>
          </w:p>
        </w:tc>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628</w:t>
            </w:r>
          </w:p>
        </w:tc>
        <w:tc>
          <w:tcPr>
            <w:tcW w:w="235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Campos oficiais do painel</w:t>
            </w:r>
          </w:p>
        </w:tc>
      </w:tr>
      <w:tr>
        <w:trPr/>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Contratos (linhas)</w:t>
            </w:r>
          </w:p>
        </w:tc>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2.152</w:t>
            </w:r>
          </w:p>
        </w:tc>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556</w:t>
            </w:r>
          </w:p>
        </w:tc>
        <w:tc>
          <w:tcPr>
            <w:tcW w:w="235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Inclui aditivos/parcelas na origem</w:t>
            </w:r>
          </w:p>
        </w:tc>
      </w:tr>
      <w:tr>
        <w:trPr/>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Gestores e fiscais</w:t>
            </w:r>
          </w:p>
        </w:tc>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n/a</w:t>
            </w:r>
          </w:p>
        </w:tc>
        <w:tc>
          <w:tcPr>
            <w:tcW w:w="235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36.399</w:t>
            </w:r>
          </w:p>
        </w:tc>
        <w:tc>
          <w:tcPr>
            <w:tcW w:w="235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Base acumulada, não anualizada</w:t>
            </w:r>
          </w:p>
        </w:tc>
      </w:tr>
    </w:tbl>
    <w:p>
      <w:pPr>
        <w:pStyle w:val="Normal"/>
        <w:spacing w:lineRule="auto" w:line="360" w:before="160" w:after="40"/>
        <w:jc w:val="center"/>
        <w:rPr/>
      </w:pPr>
      <w:r>
        <w:rPr>
          <w:rFonts w:cs="Times New Roman" w:ascii="Times New Roman" w:hAnsi="Times New Roman"/>
          <w:b/>
          <w:i w:val="false"/>
          <w:sz w:val="20"/>
        </w:rPr>
        <w:t>Tabela 1. Volume carregado a partir do painel municipal (corte em 18/08/2026)</w:t>
      </w:r>
    </w:p>
    <w:p>
      <w:pPr>
        <w:pStyle w:val="Normal"/>
        <w:spacing w:lineRule="auto" w:line="360" w:before="0" w:after="200"/>
        <w:jc w:val="center"/>
        <w:rPr/>
      </w:pPr>
      <w:r>
        <w:rPr>
          <w:rFonts w:cs="Times New Roman" w:ascii="Times New Roman" w:hAnsi="Times New Roman"/>
          <w:b w:val="false"/>
          <w:i w:val="false"/>
          <w:sz w:val="18"/>
        </w:rPr>
        <w:t>Fonte: CSVs oficiais do painel da PMU, consolidados pelo sistema (2026).</w:t>
      </w:r>
    </w:p>
    <w:p>
      <w:pPr>
        <w:pStyle w:val="Normal"/>
        <w:spacing w:lineRule="auto" w:line="360" w:before="0" w:after="160"/>
        <w:ind w:firstLine="709"/>
        <w:jc w:val="both"/>
        <w:rPr/>
      </w:pPr>
      <w:r>
        <w:rPr>
          <w:rFonts w:cs="Times New Roman" w:ascii="Times New Roman" w:hAnsi="Times New Roman"/>
          <w:b w:val="false"/>
          <w:i w:val="false"/>
          <w:sz w:val="24"/>
        </w:rPr>
        <w:t>A Figura 6 é a modalidade em 2025. Pregão eletrônico 559, dispensa 448, no total de 1.215 processos. Quem só olha concorrência grande deixa passar o miolo, que está no eletrônico e na dispensa (BRASIL, 2021). Quem mais solicita: DMAE com 333, Saúde com 233.</w:t>
      </w:r>
    </w:p>
    <w:p>
      <w:pPr>
        <w:pStyle w:val="Normal"/>
        <w:spacing w:before="0" w:after="80"/>
        <w:ind w:hanging="0"/>
        <w:jc w:val="center"/>
        <w:rPr/>
      </w:pPr>
      <w:r>
        <w:rPr/>
        <w:drawing>
          <wp:inline distT="0" distB="0" distL="0" distR="0">
            <wp:extent cx="5471795" cy="25654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71795" cy="2565400"/>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6. Processos licitatórios de 2025 por modalidade (painel municipal)</w:t>
      </w:r>
    </w:p>
    <w:p>
      <w:pPr>
        <w:pStyle w:val="Normal"/>
        <w:spacing w:lineRule="auto" w:line="360" w:before="0" w:after="200"/>
        <w:jc w:val="center"/>
        <w:rPr/>
      </w:pPr>
      <w:r>
        <w:rPr>
          <w:rFonts w:cs="Times New Roman" w:ascii="Times New Roman" w:hAnsi="Times New Roman"/>
          <w:b w:val="false"/>
          <w:i w:val="false"/>
          <w:sz w:val="18"/>
        </w:rPr>
        <w:t>Fonte: CSVs oficiais do painel da PMU (2026).</w:t>
      </w:r>
    </w:p>
    <w:p>
      <w:pPr>
        <w:pStyle w:val="Normal"/>
        <w:spacing w:lineRule="auto" w:line="360" w:before="0" w:after="160"/>
        <w:ind w:firstLine="709"/>
        <w:jc w:val="both"/>
        <w:rPr/>
      </w:pPr>
      <w:r>
        <w:rPr>
          <w:rFonts w:cs="Times New Roman" w:ascii="Times New Roman" w:hAnsi="Times New Roman"/>
          <w:b w:val="false"/>
          <w:i w:val="false"/>
          <w:sz w:val="24"/>
        </w:rPr>
        <w:t>Discutindo o que isso mostra, o recorte municipal de 2025 concentra volume em pregão eletrônico e em dispensa, e em dois solicitantes (água e esgoto, saúde). O mapa da Figura 2 puxa o olhar para fora da cidade: a maior parte dos itens homologados no recorte da tela não tem sede em Uberlândia. A tela de CNPJs vencedores atende o pedido de 11 de junho, com o limite que eu já tinha falado: a API federal só devolve resultado classificado ou homologado, não a lista inteira de quem participou. Então o estudo de rodízio fica pela metade. O sistema não aponta irregularidade sozinho. Organiza consulta. A rotina de preço com modelo de linguagem é rascunho. O servidor refaz a conta com faixa de 15%. Não substitui pesquisa formal nem nota fiscal.</w:t>
      </w:r>
    </w:p>
    <w:p>
      <w:pPr>
        <w:pStyle w:val="Normal"/>
        <w:spacing w:lineRule="auto" w:line="360" w:before="0" w:after="160"/>
        <w:ind w:firstLine="709"/>
        <w:jc w:val="both"/>
        <w:rPr/>
      </w:pPr>
      <w:r>
        <w:rPr>
          <w:rFonts w:cs="Times New Roman" w:ascii="Times New Roman" w:hAnsi="Times New Roman"/>
          <w:b w:val="false"/>
          <w:i w:val="false"/>
          <w:sz w:val="24"/>
        </w:rPr>
        <w:t>Fora os recados já transcritos, teve o convite para ser voluntário, o pedido do link no site e as duas apresentações formais. Nas duas a ferramenta foi bem recebida. Na segunda pediram filtro por porte, e isso entrou na tela de CNPJs vencedores. Não medi com relógio quanto tempo eles economizaram. O que eles relatam é que o trabalho se rearranjou. A frente dos vereadores eu deixei de fora de propósito. Outra coisa que fica aberta: quando acabar o plano gratuito da AWS, em janeiro de 2027, o sistema como está hoje sai do ar, a menos que a entidade pague ou mude de hospedagem. Nas apresentações o ganho não foi só a tela. Diretoria e sede viram que existe API de transparência para operação pública, e que o sistema a usa. Esse tipo de conhecimento entra indireto na extensão, junto com o objetivo principal.</w:t>
      </w:r>
    </w:p>
    <w:p>
      <w:pPr>
        <w:pStyle w:val="Normal"/>
        <w:spacing w:lineRule="auto" w:line="360" w:before="160" w:after="160"/>
        <w:jc w:val="left"/>
        <w:rPr/>
      </w:pPr>
      <w:r>
        <w:rPr>
          <w:rFonts w:cs="Times New Roman" w:ascii="Times New Roman" w:hAnsi="Times New Roman"/>
          <w:b/>
          <w:i w:val="false"/>
          <w:sz w:val="22"/>
        </w:rPr>
        <w:t>2.3.3 Exemplo de risco da arquitetura (não é o problema da entidade)</w:t>
      </w:r>
    </w:p>
    <w:p>
      <w:pPr>
        <w:pStyle w:val="Normal"/>
        <w:spacing w:lineRule="auto" w:line="360" w:before="0" w:after="160"/>
        <w:ind w:firstLine="709"/>
        <w:jc w:val="both"/>
        <w:rPr/>
      </w:pPr>
      <w:r>
        <w:rPr>
          <w:rFonts w:cs="Times New Roman" w:ascii="Times New Roman" w:hAnsi="Times New Roman"/>
          <w:b w:val="false"/>
          <w:i w:val="false"/>
          <w:sz w:val="24"/>
        </w:rPr>
        <w:t>Esta parte não descreve o problema da entidade. O problema da entidade era a coleta manual na planilha Cronograma. O que segue é só um exemplo, ocorrido em agosto, de um risco passível da arquitetura: o módulo Compras.gov consome a API de Dados Abertos; se essa API deixa de devolver o registro, aquele módulo para de atualizar, mesmo com a compra visível no portal. Para documentar o caso, em 7 de agosto de 2026 abri o chamado 56398424 no Portal de Serviços. A contratação 18431312000620-1-000341/2026, da UASG 926922, Pregão Eletrônico, Lei 14.133, estava no PNCP desde 27 de julho. No portal Comprasnet (https://cnetmobile.estaleiro.serpro.gov.br/comprasnet-web/public/compras) a mesma compra aparece no acompanhamento 92692205002262026. Consulta na API do PNCP: HTTP 200. Consulta na API Dados Abertos: totalRegistros=0. Os sequenciais 000333 e 000334 voltavam normalmente. Em 13 de agosto cobrei o andamento. Em 17 de agosto o SIASG informou que o caso ainda estava em análise. Serve para mostrar o limite, não para redefinir o diagnóstico do projeto. Serviu também, na prática, para a equipe entender o que é API: não é o portal que a pessoa vê; é o canal que o sistema consome. Se esse canal falha, a tela humana continua e a coleta automática não.</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Campo</w:t>
            </w:r>
          </w:p>
        </w:tc>
        <w:tc>
          <w:tcPr>
            <w:tcW w:w="4701"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Registro</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Chamado</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56398424 (chave 94441)</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Portal</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https://portaldeservicos.gestao.gov.br/</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Abertura</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07/08/2026, 13h14</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Contratação PNCP</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18431312000620-1-000341/2026</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Órgão / UASG</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Município de Uberlândia / 926922</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Modalidade</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Pregão Eletrônico (Lei 14.133, art. 28, I)</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Divulgação no PNCP</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27/07/2026</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Portal Comprasnet</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Aparece normalmente (pesquisa que a entidade já usa)</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Acompanhamento</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https://cnetmobile.estaleiro.serpro.gov.br/comprasnet-web/public/compras/acompanhamento-compra?compra=92692205002262026</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API PNCP</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 200, registro presente</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API Dados Abertos</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 200, totalRegistros=0</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Lacuna observada</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Sequenciais 000335 em diante ausentes; último ok: 000334 (23/07/2026)</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Efeito no sistema</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Só o módulo Compras.gov deixa de atualizar (risco da API, não da rotina da entidade)</w:t>
            </w:r>
          </w:p>
        </w:tc>
      </w:tr>
      <w:tr>
        <w:trPr/>
        <w:tc>
          <w:tcPr>
            <w:tcW w:w="470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Situação em 17/08/2026</w:t>
            </w:r>
          </w:p>
        </w:tc>
        <w:tc>
          <w:tcPr>
            <w:tcW w:w="4701"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Em análise (SIASG 3o Nível)</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6. Demonstração de falha da API externa (chamado 56398424)</w:t>
      </w:r>
    </w:p>
    <w:p>
      <w:pPr>
        <w:pStyle w:val="Normal"/>
        <w:spacing w:lineRule="auto" w:line="360" w:before="0" w:after="200"/>
        <w:jc w:val="center"/>
        <w:rPr/>
      </w:pPr>
      <w:r>
        <w:rPr>
          <w:rFonts w:cs="Times New Roman" w:ascii="Times New Roman" w:hAnsi="Times New Roman"/>
          <w:b w:val="false"/>
          <w:i w:val="false"/>
          <w:sz w:val="18"/>
        </w:rPr>
        <w:t>Fonte: Portal de Serviços, Comprasnet, APIs PNCP e Compras.gov (ago. 2026).</w:t>
      </w:r>
    </w:p>
    <w:p>
      <w:pPr>
        <w:pStyle w:val="Normal"/>
        <w:spacing w:lineRule="auto" w:line="360" w:before="280" w:after="160"/>
        <w:jc w:val="left"/>
        <w:rPr/>
      </w:pPr>
      <w:r>
        <w:rPr>
          <w:rFonts w:cs="Times New Roman" w:ascii="Times New Roman" w:hAnsi="Times New Roman"/>
          <w:b/>
          <w:i w:val="false"/>
          <w:sz w:val="26"/>
        </w:rPr>
        <w:t>3 CONCLUSÃO</w:t>
      </w:r>
    </w:p>
    <w:p>
      <w:pPr>
        <w:pStyle w:val="Normal"/>
        <w:spacing w:lineRule="auto" w:line="360" w:before="0" w:after="160"/>
        <w:ind w:firstLine="709"/>
        <w:jc w:val="both"/>
        <w:rPr/>
      </w:pPr>
      <w:r>
        <w:rPr>
          <w:rFonts w:cs="Times New Roman" w:ascii="Times New Roman" w:hAnsi="Times New Roman"/>
          <w:b w:val="false"/>
          <w:i w:val="false"/>
          <w:sz w:val="24"/>
        </w:rPr>
        <w:t>O que ficou de pé é um sistema de informação de apoio, no ar, no domínio da entidade, em https://licitacoes.osbrasiluberlandia.org/. A intervenção atendeu ao que o Observatório pediu: reunir fonte oficial, consultar sem começar pela cópia para a planilha Cronograma e olhar vencedor com algum recorte (mapa, CNPJ, porte). A análise continua sendo deles. O software não denuncia irregularidade sozinho. Na base municipal de 2025 entram 1.215 processos; o miolo está no pregão eletrônico e na dispensa. Gestores e fiscais passam de 36 mil linhas, volume que a planilha não dava conta de conferir. O retorno da entidade, nas reuniões, no WhatsApp e nas duas apresentações, foi de uso e de pedido de ajuste, não de recusa da ferramenta.</w:t>
      </w:r>
    </w:p>
    <w:p>
      <w:pPr>
        <w:pStyle w:val="Normal"/>
        <w:spacing w:lineRule="auto" w:line="360" w:before="0" w:after="160"/>
        <w:ind w:firstLine="709"/>
        <w:jc w:val="both"/>
        <w:rPr/>
      </w:pPr>
      <w:r>
        <w:rPr>
          <w:rFonts w:cs="Times New Roman" w:ascii="Times New Roman" w:hAnsi="Times New Roman"/>
          <w:b w:val="false"/>
          <w:i w:val="false"/>
          <w:sz w:val="24"/>
        </w:rPr>
        <w:t>Houve um ganho que não estava no objetivo inicial. A equipe passou a saber o que é uma API e que o governo já publica, por esse canal, dado aberto para transparência das compras, em especial a API de Dados Abertos do Compras.gov.br. Isso entrou no convívio, não numa aula. Também ficou explícito o limite: se essa API para, só o módulo Compras.gov deixa de atualizar. O restante segue com o CSV municipal. Outro limite, este de hospedagem: o plano gratuito da AWS acaba em 13 de janeiro de 2027, ou antes se o crédito acabar. Sem pagamento ou mudança de máquina, o sistema sai do ar.</w:t>
      </w:r>
    </w:p>
    <w:p>
      <w:pPr>
        <w:pStyle w:val="Normal"/>
        <w:spacing w:lineRule="auto" w:line="360" w:before="0" w:after="160"/>
        <w:ind w:firstLine="709"/>
        <w:jc w:val="both"/>
        <w:rPr/>
      </w:pPr>
      <w:r>
        <w:rPr>
          <w:rFonts w:cs="Times New Roman" w:ascii="Times New Roman" w:hAnsi="Times New Roman"/>
          <w:b w:val="false"/>
          <w:i w:val="false"/>
          <w:sz w:val="24"/>
        </w:rPr>
        <w:t xml:space="preserve">Para desdobramento, combinamos deixar o voluntariado mais formal depois que a faculdade acabar, para não virar obrigação de curso interno da rede. A planilha Cronograma ainda pode ficar do lado enquanto eles pegam confiança; o critério prático de sucesso é ela ser usada cada vez menos. Ficou em aberto medir, com a rotina já apoiada, o tempo de preparação do quadrimestre. A frente dos vereadores continua fora, de propósito: outro recorte, outra fonte. Se a API federal um dia devolver a lista completa de proponentes, o estudo de rodízio que o Marco pediu em 11 de junho deixa de ficar pela metade. Enquanto isso, o que cabe à entidade é decidir a hospedagem depois de janeiro de 2027. O endereço local de desenvolvimento, na minha máquina, permanece o mesmo: docker compose up --build -d, </w:t>
      </w:r>
      <w:hyperlink r:id="rId9">
        <w:r>
          <w:rPr>
            <w:rStyle w:val="Hyperlink"/>
            <w:rFonts w:cs="Times New Roman" w:ascii="Times New Roman" w:hAnsi="Times New Roman"/>
            <w:b w:val="false"/>
            <w:i w:val="false"/>
            <w:sz w:val="24"/>
          </w:rPr>
          <w:t>http://localhost:8096/</w:t>
        </w:r>
      </w:hyperlink>
      <w:r>
        <w:rPr>
          <w:rFonts w:cs="Times New Roman" w:ascii="Times New Roman" w:hAnsi="Times New Roman"/>
          <w:b w:val="false"/>
          <w:i w:val="false"/>
          <w:sz w:val="24"/>
        </w:rPr>
        <w:t>.</w:t>
      </w:r>
    </w:p>
    <w:p>
      <w:pPr>
        <w:pStyle w:val="Normal"/>
        <w:spacing w:lineRule="auto" w:line="360" w:before="0" w:after="160"/>
        <w:ind w:firstLine="709"/>
        <w:jc w:val="both"/>
        <w:rPr>
          <w:rFonts w:ascii="Times New Roman" w:hAnsi="Times New Roman" w:cs="Times New Roman"/>
          <w:b w:val="false"/>
          <w:i w:val="false"/>
          <w:i w:val="false"/>
          <w:sz w:val="24"/>
        </w:rPr>
      </w:pPr>
      <w:r>
        <w:rPr>
          <w:rFonts w:cs="Times New Roman" w:ascii="Times New Roman" w:hAnsi="Times New Roman"/>
          <w:b w:val="false"/>
          <w:i w:val="false"/>
          <w:sz w:val="24"/>
        </w:rPr>
      </w:r>
    </w:p>
    <w:p>
      <w:pPr>
        <w:pStyle w:val="Normal"/>
        <w:spacing w:lineRule="auto" w:line="360" w:before="280" w:after="160"/>
        <w:jc w:val="left"/>
        <w:rPr/>
      </w:pPr>
      <w:r>
        <w:rPr>
          <w:rFonts w:cs="Times New Roman" w:ascii="Times New Roman" w:hAnsi="Times New Roman"/>
          <w:b/>
          <w:i w:val="false"/>
          <w:sz w:val="26"/>
        </w:rPr>
        <w:t>4 REFERÊNCIAS</w:t>
      </w:r>
    </w:p>
    <w:p>
      <w:pPr>
        <w:pStyle w:val="Normal"/>
        <w:spacing w:lineRule="auto" w:line="360" w:before="0" w:after="160"/>
        <w:ind w:hanging="709" w:left="709"/>
        <w:jc w:val="both"/>
        <w:rPr/>
      </w:pPr>
      <w:r>
        <w:rPr>
          <w:rFonts w:cs="Times New Roman" w:ascii="Times New Roman" w:hAnsi="Times New Roman"/>
          <w:b w:val="false"/>
          <w:i w:val="false"/>
          <w:sz w:val="22"/>
        </w:rPr>
        <w:t>ASSOCIAÇÃO BRASILEIRA DE NORMAS TÉCNICAS. NBR 14724: informação e documentação: trabalhos acadêmicos: apresentação. Rio de Janeiro: ABNT, 2011.</w:t>
      </w:r>
    </w:p>
    <w:p>
      <w:pPr>
        <w:pStyle w:val="Normal"/>
        <w:spacing w:lineRule="auto" w:line="360" w:before="0" w:after="160"/>
        <w:ind w:hanging="709" w:left="709"/>
        <w:jc w:val="both"/>
        <w:rPr/>
      </w:pPr>
      <w:r>
        <w:rPr>
          <w:rFonts w:cs="Times New Roman" w:ascii="Times New Roman" w:hAnsi="Times New Roman"/>
          <w:b w:val="false"/>
          <w:i w:val="false"/>
          <w:sz w:val="22"/>
        </w:rPr>
        <w:t>ASSOCIAÇÃO BRASILEIRA DE NORMAS TÉCNICAS. NBR 6023: informação e documentação: referências: elaboração. Rio de Janeiro: ABNT, 2018.</w:t>
      </w:r>
    </w:p>
    <w:p>
      <w:pPr>
        <w:pStyle w:val="Normal"/>
        <w:spacing w:lineRule="auto" w:line="360" w:before="0" w:after="160"/>
        <w:ind w:hanging="709" w:left="709"/>
        <w:jc w:val="both"/>
        <w:rPr/>
      </w:pPr>
      <w:r>
        <w:rPr>
          <w:rFonts w:cs="Times New Roman" w:ascii="Times New Roman" w:hAnsi="Times New Roman"/>
          <w:b w:val="false"/>
          <w:i w:val="false"/>
          <w:sz w:val="22"/>
        </w:rPr>
        <w:t>ASSOCIAÇÃO BRASILEIRA DE NORMAS TÉCNICAS. NBR 10520: informação e documentação: citações em documentos. Rio de Janeiro: ABNT, 2023.</w:t>
      </w:r>
    </w:p>
    <w:p>
      <w:pPr>
        <w:pStyle w:val="Normal"/>
        <w:spacing w:lineRule="auto" w:line="360" w:before="0" w:after="160"/>
        <w:ind w:hanging="709" w:left="709"/>
        <w:jc w:val="both"/>
        <w:rPr/>
      </w:pPr>
      <w:r>
        <w:rPr>
          <w:rFonts w:cs="Times New Roman" w:ascii="Times New Roman" w:hAnsi="Times New Roman"/>
          <w:b w:val="false"/>
          <w:i w:val="false"/>
          <w:sz w:val="22"/>
        </w:rPr>
        <w:t>BRASIL. Decreto n. 8.777, de 11 de maio de 2016. Institui a Política de Dados Abertos do Poder Executivo federal. Diário Oficial da União: seção 1, Brasília, DF, 12 maio 2016. Disponível em: https://www.planalto.gov.br/ccivil_03/_ato2015-2018/2016/decreto/d8777.htm.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BRASIL. Lei n. 12.527, de 18 de novembro de 2011. Regula o acesso a informações. Diário Oficial da União: seção 1, Brasília, DF, 18 nov. 2011. Disponível em: https://www.planalto.gov.br/ccivil_03/_ato2011-2014/2011/lei/l12527.htm.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BRASIL. Lei n. 14.133, de 1 de abril de 2021. Lei de Licitações e Contratos Administrativos. Diário Oficial da União: seção 1, Brasília, DF, 1 abr. 2021. Disponível em: https://www.planalto.gov.br/ccivil_03/_ato2019-2022/2021/lei/l14133.htm.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BRASIL. Portal de Serviços. Brasília, DF: Ministério da Gestão e da Inovação em Serviços Públicos, [2026]. Disponível em: https://portaldeservicos.gestao.gov.br/.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COMPRAS.GOV.BR. Acompanhamento de compras (Comprasnet). Brasília, DF: Ministério da Gestão e da Inovação em Serviços Públicos, [2026]. Disponível em: https://cnetmobile.estaleiro.serpro.gov.br/comprasnet-web/public/compras.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COMPRAS.GOV.BR. Compras públicas em dados abertos. Brasília, DF: Ministério da Gestão e da Inovação em Serviços Públicos, [2026]. Disponível em: https://dadosabertos.compras.gov.br/swagger-ui/index.html.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GIL, Antonio Carlos. Como elaborar projetos de pesquisa. 7. ed. São Paulo: Atlas, 2022. ISBN 978-65-5977-163-9.</w:t>
      </w:r>
    </w:p>
    <w:p>
      <w:pPr>
        <w:pStyle w:val="Normal"/>
        <w:spacing w:lineRule="auto" w:line="360" w:before="0" w:after="160"/>
        <w:ind w:hanging="709" w:left="709"/>
        <w:jc w:val="both"/>
        <w:rPr/>
      </w:pPr>
      <w:r>
        <w:rPr>
          <w:rFonts w:cs="Times New Roman" w:ascii="Times New Roman" w:hAnsi="Times New Roman"/>
          <w:b w:val="false"/>
          <w:i w:val="false"/>
          <w:sz w:val="22"/>
        </w:rPr>
        <w:t>LAUDON, Kenneth C.; LAUDON, Jane P. Sistemas de informação gerenciais. 11. ed. São Paulo: Pearson, 2014. ISBN 978-85-4300-585-0.</w:t>
      </w:r>
    </w:p>
    <w:p>
      <w:pPr>
        <w:pStyle w:val="Normal"/>
        <w:spacing w:lineRule="auto" w:line="360" w:before="0" w:after="160"/>
        <w:ind w:hanging="709" w:left="709"/>
        <w:jc w:val="both"/>
        <w:rPr/>
      </w:pPr>
      <w:r>
        <w:rPr>
          <w:rFonts w:cs="Times New Roman" w:ascii="Times New Roman" w:hAnsi="Times New Roman"/>
          <w:b w:val="false"/>
          <w:i w:val="false"/>
          <w:sz w:val="22"/>
        </w:rPr>
        <w:t>MOREIRA, Fábio Mosso et al. A qualidade na recuperação de dados governamentais: um estudo sobre dados de políticas públicas na internet. Perspectivas em Ciência da Informação, Belo Horizonte, v. 25, n. 2, p. 103-132, abr./jun. 2020. DOI: https://doi.org/10.1590/1981-5344/3994.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OBSERVATÓRIO SOCIAL DO BRASIL DE UBERLÂNDIA. Página institucional. Uberlândia, [2026]. Disponível em: https://www.osbrasiluberlandia.org/.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PINHO, José Antonio Gomes de; SACRAMENTO, Ana Rita Silva. Accountability: já podemos traduzi-la para o português? Revista de Administração Pública, Rio de Janeiro, v. 43, n. 6, p. 1343-1368, nov./dez. 2009. DOI: https://doi.org/10.1590/S0034-76122009000600006.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PORTAL NACIONAL DE CONTRATAÇÕES PÚBLICAS. API de consulta: contratação 18431312000620-1-000341/2026. Brasília, DF: Governo Federal, 2026. Disponível em: https://pncp.gov.br/api/consulta/v1/orgaos/18431312000620/compras/2026/341.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PORTAL NACIONAL DE CONTRATAÇÕES PÚBLICAS. Manuais do PNCP. Brasília, DF: Governo Federal, [2026]. Disponível em: https://www.gov.br/pncp/pt-br/pncp/manuais.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PREFEITURA MUNICIPAL DE UBERLÂNDIA. Painel de licitações e contratos (dados abertos). Uberlândia, [2026]. Disponível em: https://app.powerbi.com/. Acesso em: 21 ago. 2026.</w:t>
      </w:r>
    </w:p>
    <w:p>
      <w:pPr>
        <w:pStyle w:val="Normal"/>
        <w:spacing w:lineRule="auto" w:line="360" w:before="0" w:after="160"/>
        <w:ind w:hanging="709" w:left="709"/>
        <w:jc w:val="both"/>
        <w:rPr/>
      </w:pPr>
      <w:r>
        <w:rPr>
          <w:rFonts w:cs="Times New Roman" w:ascii="Times New Roman" w:hAnsi="Times New Roman"/>
          <w:b w:val="false"/>
          <w:i w:val="false"/>
          <w:sz w:val="22"/>
        </w:rPr>
        <w:t>PRESSMAN, Roger S.; MAXIM, Bruce R. Engenharia de software: uma abordagem profissional. 9. ed. Porto Alegre: AMGH, 2021. ISBN 978-65-5804-010-1.</w:t>
      </w:r>
    </w:p>
    <w:p>
      <w:pPr>
        <w:pStyle w:val="Normal"/>
        <w:spacing w:lineRule="auto" w:line="360" w:before="0" w:after="160"/>
        <w:ind w:hanging="709" w:left="709"/>
        <w:jc w:val="both"/>
        <w:rPr/>
      </w:pPr>
      <w:r>
        <w:rPr>
          <w:rFonts w:cs="Times New Roman" w:ascii="Times New Roman" w:hAnsi="Times New Roman"/>
          <w:b w:val="false"/>
          <w:i w:val="false"/>
          <w:sz w:val="22"/>
        </w:rPr>
        <w:t>SOMMERVILLE, Ian. Engenharia de software. 10. ed. São Paulo: Pearson, 2018. ISBN 978-85-4302-497-4.</w:t>
      </w:r>
    </w:p>
    <w:p>
      <w:pPr>
        <w:pStyle w:val="Normal"/>
        <w:spacing w:lineRule="auto" w:line="360" w:before="0" w:after="160"/>
        <w:ind w:hanging="709" w:left="709"/>
        <w:jc w:val="both"/>
        <w:rPr/>
      </w:pPr>
      <w:r>
        <w:rPr>
          <w:rFonts w:cs="Times New Roman" w:ascii="Times New Roman" w:hAnsi="Times New Roman"/>
          <w:b w:val="false"/>
          <w:i w:val="false"/>
          <w:sz w:val="22"/>
        </w:rPr>
        <w:t>YIN, Robert K. Estudo de caso: planejamento e métodos. 5. ed. Porto Alegre: Bookman, 2015. ISBN 978-85-8260-231-7.</w:t>
      </w:r>
    </w:p>
    <w:p>
      <w:pPr>
        <w:pStyle w:val="Normal"/>
        <w:spacing w:lineRule="auto" w:line="360" w:before="0" w:after="160"/>
        <w:ind w:hanging="709" w:left="709"/>
        <w:jc w:val="both"/>
        <w:rPr/>
      </w:pPr>
      <w:r>
        <w:rPr>
          <w:rFonts w:cs="Times New Roman" w:ascii="Times New Roman" w:hAnsi="Times New Roman"/>
          <w:b w:val="false"/>
          <w:i w:val="false"/>
          <w:sz w:val="22"/>
        </w:rPr>
        <w:t>ZUIDERWIJK, Anneke; JANSSEN, Marijn. Open data policies, their implementation and impact: a framework for comparison. Government Information Quarterly, [s. l.], v. 31, n. 1, p. 17-29, 2014. DOI: https://doi.org/10.1016/j.giq.2013.04.003. Acesso em: 21 ago. 2026.</w:t>
      </w:r>
    </w:p>
    <w:sectPr>
      <w:type w:val="nextPage"/>
      <w:pgSz w:w="12240" w:h="15840"/>
      <w:pgMar w:left="1701" w:right="1134"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localhost:8096/"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Application>LibreOffice/24.2.7.2$Linux_X86_64 LibreOffice_project/420$Build-2</Application>
  <AppVersion>15.0000</AppVersion>
  <Pages>22</Pages>
  <Words>6543</Words>
  <Characters>33832</Characters>
  <CharactersWithSpaces>40093</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2026-08-21T14:45:06Z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