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F364A5">
      <w:pPr>
        <w:rPr>
          <w:rFonts w:hint="default"/>
          <w:lang w:val="en-US"/>
        </w:rPr>
      </w:pPr>
      <w:r>
        <w:rPr>
          <w:rFonts w:hint="default"/>
          <w:lang w:val="en-US"/>
        </w:rPr>
        <w:t>Desenvolver um relatório de “Razão por Fornecedor” para Agrion, o relatório tem o objetivo de apresentar e detalhar o saldo contábil.</w:t>
      </w:r>
    </w:p>
    <w:p w14:paraId="361588BB">
      <w:pPr>
        <w:rPr>
          <w:rFonts w:hint="default"/>
          <w:lang w:val="en-US"/>
        </w:rPr>
      </w:pPr>
    </w:p>
    <w:p w14:paraId="182993EC">
      <w:pPr>
        <w:rPr>
          <w:rFonts w:hint="default"/>
          <w:lang w:val="en-US"/>
        </w:rPr>
      </w:pPr>
      <w:r>
        <w:rPr>
          <w:rFonts w:hint="default"/>
          <w:lang w:val="en-US"/>
        </w:rPr>
        <w:t>Vamos nos basear no dashboard já existente no Sankhya OM da Satis, “Razão Auxiliar de Conta”, segue os prints do dashboard:</w:t>
      </w:r>
    </w:p>
    <w:p w14:paraId="13482AE2">
      <w:pPr>
        <w:rPr>
          <w:rFonts w:hint="default"/>
          <w:lang w:val="en-US"/>
        </w:rPr>
      </w:pPr>
    </w:p>
    <w:p w14:paraId="241F1CDF">
      <w:pPr>
        <w:ind w:left="-1000" w:leftChars="-5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10250" cy="2636520"/>
            <wp:effectExtent l="0" t="0" r="0" b="11430"/>
            <wp:docPr id="8" name="Imagem 8" descr="507daddb-ec9f-4e35-b4be-782719ac22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507daddb-ec9f-4e35-b4be-782719ac22f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3BFA">
      <w:pPr>
        <w:ind w:left="-980" w:leftChars="-49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430780" cy="2687320"/>
            <wp:effectExtent l="0" t="0" r="7620" b="17780"/>
            <wp:docPr id="9" name="Imagem 9" descr="4a8e04c4-9085-4c68-9874-edc6d4e600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4a8e04c4-9085-4c68-9874-edc6d4e600b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6642735" cy="1499235"/>
            <wp:effectExtent l="0" t="0" r="5715" b="5715"/>
            <wp:docPr id="10" name="Imagem 10" descr="65d542a6-9535-4e91-bc98-a067f98e2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65d542a6-9535-4e91-bc98-a067f98e2e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B1F8">
      <w:pPr>
        <w:rPr>
          <w:rFonts w:hint="default"/>
          <w:lang w:val="en-US"/>
        </w:rPr>
      </w:pPr>
    </w:p>
    <w:p w14:paraId="554F4C94">
      <w:pPr>
        <w:rPr>
          <w:rFonts w:hint="default"/>
          <w:lang w:val="en-US"/>
        </w:rPr>
      </w:pPr>
      <w:bookmarkStart w:id="0" w:name="_GoBack"/>
      <w:bookmarkEnd w:id="0"/>
    </w:p>
    <w:p w14:paraId="677FC749">
      <w:pPr>
        <w:rPr>
          <w:rFonts w:hint="default"/>
          <w:lang w:val="en-US"/>
        </w:rPr>
      </w:pPr>
      <w:r>
        <w:rPr>
          <w:rFonts w:hint="default"/>
          <w:lang w:val="en-US"/>
        </w:rPr>
        <w:t>O relatório da Agrion deve apresentar duas visões, a sintética e a analítica.</w:t>
      </w:r>
    </w:p>
    <w:p w14:paraId="52DAF43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Na visão sintética corresponde a tabela do dash “Razão Auxiliar para Conciliação de Conta’</w:t>
      </w:r>
    </w:p>
    <w:p w14:paraId="423B08C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Na visão analítica, deve haver o agrupamento por parceiro, afim de detalhar o resultado do mesmo.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292401"/>
    <w:multiLevelType w:val="singleLevel"/>
    <w:tmpl w:val="332924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DB2D10"/>
    <w:rsid w:val="4ADB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2025-05-01T14:35:00Z</dcterms:created>
  <dc:creator>Raphael Carvalho</dc:creator>
  <cp:lastModifiedBy>Raphael Carvalho</cp:lastModifiedBy>
  <dcterms:modified xsi:type="dcterms:W3CDTF">2025-05-01T14:42:19Z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D1981A2E4078420383880D1C393AF6A0_11</vt:lpwstr>
  </property>
</Properties>
</file>