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B2A4A"/>
          <w:sz w:val="72"/>
          <w:szCs w:val="72"/>
        </w:rPr>
        <w:t xml:space="preserve">MACNN-RLS</w:t>
      </w:r>
    </w:p>
    <w:p>
      <w:pPr>
        <w:spacing w:before="0" w:after="40"/>
        <w:jc w:val="center"/>
      </w:pPr>
      <w:r>
        <w:rPr>
          <w:rFonts w:ascii="Arial" w:cs="Arial" w:eastAsia="Arial" w:hAnsi="Arial"/>
          <w:b/>
          <w:bCs/>
          <w:color w:val="1E4D8C"/>
          <w:sz w:val="40"/>
          <w:szCs w:val="40"/>
        </w:rPr>
        <w:t xml:space="preserve">Multi-Agent Cognitive Neural Network</w:t>
      </w:r>
    </w:p>
    <w:p>
      <w:pPr>
        <w:spacing w:before="0" w:after="200"/>
        <w:jc w:val="center"/>
      </w:pPr>
      <w:r>
        <w:rPr>
          <w:rFonts w:ascii="Arial" w:cs="Arial" w:eastAsia="Arial" w:hAnsi="Arial"/>
          <w:b/>
          <w:bCs/>
          <w:color w:val="1E4D8C"/>
          <w:sz w:val="40"/>
          <w:szCs w:val="40"/>
        </w:rPr>
        <w:t xml:space="preserve">Reasoning, Learning &amp; Problem-Solving System</w:t>
      </w:r>
    </w:p>
    <w:p>
      <w:pPr>
        <w:pBdr>
          <w:bottom w:val="single" w:color="C9A84C" w:sz="8"/>
        </w:pBdr>
        <w:spacing w:before="0" w:after="200"/>
        <w:jc w:val="center"/>
      </w:pPr>
      <w:r>
        <w:t xml:space="preserve"/>
      </w:r>
    </w:p>
    <w:p>
      <w:pPr>
        <w:spacing w:before="0" w:after="40"/>
        <w:jc w:val="center"/>
      </w:pPr>
      <w:r>
        <w:rPr>
          <w:rFonts w:ascii="Arial" w:cs="Arial" w:eastAsia="Arial" w:hAnsi="Arial"/>
          <w:i/>
          <w:iCs/>
          <w:color w:val="4A5568"/>
          <w:sz w:val="24"/>
          <w:szCs w:val="24"/>
        </w:rPr>
        <w:t xml:space="preserve">A Unified Architecture Synthesizing Cybernetics, Embodied Cognition,</w:t>
      </w:r>
    </w:p>
    <w:p>
      <w:pPr>
        <w:spacing w:before="0" w:after="360"/>
        <w:jc w:val="center"/>
      </w:pPr>
      <w:r>
        <w:rPr>
          <w:rFonts w:ascii="Arial" w:cs="Arial" w:eastAsia="Arial" w:hAnsi="Arial"/>
          <w:i/>
          <w:iCs/>
          <w:color w:val="4A5568"/>
          <w:sz w:val="24"/>
          <w:szCs w:val="24"/>
        </w:rPr>
        <w:t xml:space="preserve">Neuromorphic Computing, Motor Synergy Theory, and GAN-Augmented Deep Learning</w:t>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color w:val="718096"/>
          <w:sz w:val="20"/>
          <w:szCs w:val="20"/>
        </w:rPr>
        <w:t xml:space="preserve">Version 1.0  ·  Advanced Research Specification</w:t>
      </w:r>
    </w:p>
    <w:p>
      <w:r>
        <w:br w:type="page"/>
      </w:r>
    </w:p>
    <w:p>
      <w:pPr>
        <w:pStyle w:val="Heading1"/>
        <w:pBdr>
          <w:bottom w:val="single" w:color="2E75B6" w:sz="6" w:space="1"/>
        </w:pBdr>
        <w:spacing w:before="360" w:after="180"/>
      </w:pPr>
      <w:r>
        <w:rPr>
          <w:rFonts w:ascii="Arial" w:cs="Arial" w:eastAsia="Arial" w:hAnsi="Arial"/>
          <w:b/>
          <w:bCs/>
          <w:color w:val="1B2A4A"/>
          <w:sz w:val="32"/>
          <w:szCs w:val="32"/>
        </w:rPr>
        <w:t xml:space="preserve">Executive Summary</w:t>
      </w:r>
    </w:p>
    <w:p>
      <w:pPr>
        <w:spacing w:before="80" w:after="120"/>
        <w:jc w:val="both"/>
      </w:pPr>
      <w:r>
        <w:rPr>
          <w:rFonts w:ascii="Arial" w:cs="Arial" w:eastAsia="Arial" w:hAnsi="Arial"/>
          <w:b w:val="false"/>
          <w:bCs w:val="false"/>
          <w:i w:val="false"/>
          <w:iCs w:val="false"/>
          <w:color w:val="1B2A4A"/>
          <w:sz w:val="22"/>
          <w:szCs w:val="22"/>
        </w:rPr>
        <w:t xml:space="preserve">MACNN-RLS — the Multi-Agent Cognitive Neural Network Reasoning, Learning &amp; Problem-Solving System — is an institutional-grade AI architecture that draws its foundational logic from three converging bodies of scientific work: (1) the hierarchical brain-to-AI mapping framework linking neural regions to AI paradigms; (2) the 3D-CNN-GAN motor imagery decoding architecture demonstrating how temporal, frequency, and phase brain connectivity features can be extracted, augmented, and classified in real time; and (3) the cybernetic tradition of Wiener, Bernstein, and Maturana, operationalized through the Passive Motion Paradigm and self-organizing Topology Representing Networks.</w:t>
      </w:r>
    </w:p>
    <w:p>
      <w:pPr>
        <w:spacing w:before="80" w:after="120"/>
        <w:jc w:val="both"/>
      </w:pPr>
      <w:r>
        <w:rPr>
          <w:rFonts w:ascii="Arial" w:cs="Arial" w:eastAsia="Arial" w:hAnsi="Arial"/>
          <w:b w:val="false"/>
          <w:bCs w:val="false"/>
          <w:i w:val="false"/>
          <w:iCs w:val="false"/>
          <w:color w:val="1B2A4A"/>
          <w:sz w:val="22"/>
          <w:szCs w:val="22"/>
        </w:rPr>
        <w:t xml:space="preserve">The system organizes eight specialized sub-agents into a hierarchical fan-out / fan-in architecture mirroring the brain's own large-scale networks. Each agent layer corresponds to a distinct neural region and AI paradigm, from brainstem-level sensory preprocessing through machine learning integration, deep learning feature encoding, and prefrontal-level executive reasoning. Critically, the agents do not operate in isolation: they are coupled through bidirectional cybernetic feedback loops that implement Bernstein's principle of anticipatory correction, Piaget's circular reaction strategy, and Enactivist agent-environment co-determination.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Design principle: No intelligence without a body, no body without an environment, no environment without a feedback loop. The architecture is closed at every level.</w:t>
            </w:r>
          </w:p>
        </w:tc>
      </w:tr>
    </w:tbl>
    <w:p>
      <w:pPr>
        <w:spacing w:before="0" w:after="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1. Theoretical Foundations</w:t>
      </w:r>
    </w:p>
    <w:p>
      <w:pPr>
        <w:pStyle w:val="Heading2"/>
        <w:spacing w:before="280" w:after="140"/>
      </w:pPr>
      <w:r>
        <w:rPr>
          <w:rFonts w:ascii="Arial" w:cs="Arial" w:eastAsia="Arial" w:hAnsi="Arial"/>
          <w:b/>
          <w:bCs/>
          <w:color w:val="1E4D8C"/>
          <w:sz w:val="26"/>
          <w:szCs w:val="26"/>
        </w:rPr>
        <w:t xml:space="preserve">1.1  The Brain-to-AI Hierarchy</w:t>
      </w:r>
    </w:p>
    <w:p>
      <w:pPr>
        <w:spacing w:before="80" w:after="120"/>
        <w:jc w:val="both"/>
      </w:pPr>
      <w:r>
        <w:rPr>
          <w:rFonts w:ascii="Arial" w:cs="Arial" w:eastAsia="Arial" w:hAnsi="Arial"/>
          <w:b w:val="false"/>
          <w:bCs w:val="false"/>
          <w:i w:val="false"/>
          <w:iCs w:val="false"/>
          <w:color w:val="1B2A4A"/>
          <w:sz w:val="22"/>
          <w:szCs w:val="22"/>
        </w:rPr>
        <w:t xml:space="preserve">The first foundational pillar establishes a four-tier mapping between brain regions and AI paradigms. This is not merely a metaphor but a structural isomorphism that constrains architectural decisions throughout MACNN-RLS.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Brain Region</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AI Paradigm</w:t>
            </w:r>
          </w:p>
        </w:tc>
        <w:tc>
          <w:tcPr>
            <w:tcW w:type="dxa" w:w="48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Functional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 Sensory Cortices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Generic AI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Pattern recognition, sensory preprocessing, raw input encoding — the system's first contact with the world</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Basal Ganglia / Thalamus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Machine Learning</w:t>
            </w:r>
          </w:p>
        </w:tc>
        <w:tc>
          <w:tcPr>
            <w:tcW w:type="dxa" w:w="48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Adaptive decision-making, reward integration, sensory relay and gating — associative learning with modifiable weights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Limbic System / Hippocampus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Deep Learning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Complex feature hierarchies, episodic memory consolidation, emotional salience tagging, Default Mode and Salience Network dynamics</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 Cortex (mPFC)</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Artificial General Intelligence</w:t>
            </w:r>
          </w:p>
        </w:tc>
        <w:tc>
          <w:tcPr>
            <w:tcW w:type="dxa" w:w="48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Executive control, goal maintenance, counterfactual reasoning, cross-domain integration, anticipatory correction</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A key implication of this mapping is that each layer must be capable of both bottom-up activation by inputs from the layer below and top-down modulation by goals and predictions from the layer above. The absence of this bidirectionality — identified as the single greatest limitation of current deep learning architectures — is precisely what MACNN-RLS is designed to overcome.</w:t>
      </w:r>
    </w:p>
    <w:p>
      <w:pPr>
        <w:pStyle w:val="Heading2"/>
        <w:spacing w:before="280" w:after="140"/>
      </w:pPr>
      <w:r>
        <w:rPr>
          <w:rFonts w:ascii="Arial" w:cs="Arial" w:eastAsia="Arial" w:hAnsi="Arial"/>
          <w:b/>
          <w:bCs/>
          <w:color w:val="1E4D8C"/>
          <w:sz w:val="26"/>
          <w:szCs w:val="26"/>
        </w:rPr>
        <w:t xml:space="preserve">1.2  Cybernetics, Feedback, and Enactivism</w:t>
      </w:r>
    </w:p>
    <w:p>
      <w:pPr>
        <w:spacing w:before="80" w:after="120"/>
        <w:jc w:val="both"/>
      </w:pPr>
      <w:r>
        <w:rPr>
          <w:rFonts w:ascii="Arial" w:cs="Arial" w:eastAsia="Arial" w:hAnsi="Arial"/>
          <w:b w:val="false"/>
          <w:bCs w:val="false"/>
          <w:i w:val="false"/>
          <w:iCs w:val="false"/>
          <w:color w:val="1B2A4A"/>
          <w:sz w:val="22"/>
          <w:szCs w:val="22"/>
        </w:rPr>
        <w:t xml:space="preserve">Norbert Wiener's founding insight was that control and communication are inseparable, whether in machines or animals. The message — not the medium — is the fundamental unit. MACNN-RLS operationalizes this by treating all inter-agent communication as message-passing within a closed feedback loop, never as a one-directional data pipeline.</w:t>
      </w:r>
    </w:p>
    <w:p>
      <w:pPr>
        <w:spacing w:before="80" w:after="120"/>
        <w:jc w:val="both"/>
      </w:pPr>
      <w:r>
        <w:rPr>
          <w:rFonts w:ascii="Arial" w:cs="Arial" w:eastAsia="Arial" w:hAnsi="Arial"/>
          <w:b w:val="false"/>
          <w:bCs w:val="false"/>
          <w:i w:val="false"/>
          <w:iCs w:val="false"/>
          <w:color w:val="1B2A4A"/>
          <w:sz w:val="22"/>
          <w:szCs w:val="22"/>
        </w:rPr>
        <w:t xml:space="preserve">Maturana and Varela's Enactivism extends this: cognition is not the processing of a pre-given world but the active co-constitution of a world through agent-environment interaction. Every agent in MACNN-RLS therefore maintains a generative model of its environment that it continuously updates through action and perception, not merely through passive observation.</w:t>
      </w:r>
    </w:p>
    <w:p>
      <w:pPr>
        <w:spacing w:before="80" w:after="120"/>
        <w:jc w:val="both"/>
      </w:pPr>
      <w:r>
        <w:rPr>
          <w:rFonts w:ascii="Arial" w:cs="Arial" w:eastAsia="Arial" w:hAnsi="Arial"/>
          <w:b w:val="false"/>
          <w:bCs w:val="false"/>
          <w:i w:val="false"/>
          <w:iCs w:val="false"/>
          <w:color w:val="1B2A4A"/>
          <w:sz w:val="22"/>
          <w:szCs w:val="22"/>
        </w:rPr>
        <w:t xml:space="preserve">Bernstein's contribution is the anticipatory dimension: purposive action is not driven by the present state but by the predicted future state — the 'model of the required result.' This is implemented architecturally through the terminal attractor dynamics of the Passive Motion Paradigm, where the Gamma-command provides a non-linear gating signal that commits the system to a trajectory endpoint before execution begins, enabling ante factum rather than post factum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E0F5"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Bernstein's degrees-of-freedom problem is solved in MACNN-RLS not by freezing joints but by the PMP's compliance matrix, which ranks DoF involvement by task relevance — a learned, dynamic solution rather than a static constraint.</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1.3  GAN-Augmented Temporal-Frequency-Phase Features</w:t>
      </w:r>
    </w:p>
    <w:p>
      <w:pPr>
        <w:spacing w:before="80" w:after="120"/>
        <w:jc w:val="both"/>
      </w:pPr>
      <w:r>
        <w:rPr>
          <w:rFonts w:ascii="Arial" w:cs="Arial" w:eastAsia="Arial" w:hAnsi="Arial"/>
          <w:b w:val="false"/>
          <w:bCs w:val="false"/>
          <w:i w:val="false"/>
          <w:iCs w:val="false"/>
          <w:color w:val="1B2A4A"/>
          <w:sz w:val="22"/>
          <w:szCs w:val="22"/>
        </w:rPr>
        <w:t xml:space="preserve">The second foundational pillar demonstrates that brain connectivity can be represented as a unified three-dimensional feature space combining Pearson Correlation Coefficient (temporal), Coherence (frequency-specific), and Phase Locking Value (phase synchronization). This Temporal-Frequency-Phase Feature (TFPF) representation is not merely an EEG-decoding technique: it is the general format in which MACNN-RLS encodes the connectivity state of any monitored system, biological or artificial.</w:t>
      </w:r>
    </w:p>
    <w:p>
      <w:pPr>
        <w:spacing w:before="80" w:after="120"/>
        <w:jc w:val="both"/>
      </w:pPr>
      <w:r>
        <w:rPr>
          <w:rFonts w:ascii="Arial" w:cs="Arial" w:eastAsia="Arial" w:hAnsi="Arial"/>
          <w:b w:val="false"/>
          <w:bCs w:val="false"/>
          <w:i w:val="false"/>
          <w:iCs w:val="false"/>
          <w:color w:val="1B2A4A"/>
          <w:sz w:val="22"/>
          <w:szCs w:val="22"/>
        </w:rPr>
        <w:t xml:space="preserve">Generative Adversarial Networks serve two roles in the architecture. First, as data augmentation mechanisms that expand limited training sets by learning and reproducing the underlying connectivity distribution. Second — and more profoundly — as connectivity enrichment tools: the GAN-generated 'FAKE connectivity' was shown to exhibit stronger triangular and circular topological structures than the real data, indicating that the generator is not just replicating but amplifying the most discriminative patterns in brain network organization. This amplification property is harnessed in MACNN-RLS for synthetic scenario generation during planning.</w:t>
      </w:r>
    </w:p>
    <w:p>
      <w:pPr>
        <w:pStyle w:val="Heading2"/>
        <w:spacing w:before="280" w:after="140"/>
      </w:pPr>
      <w:r>
        <w:rPr>
          <w:rFonts w:ascii="Arial" w:cs="Arial" w:eastAsia="Arial" w:hAnsi="Arial"/>
          <w:b/>
          <w:bCs/>
          <w:color w:val="1E4D8C"/>
          <w:sz w:val="26"/>
          <w:szCs w:val="26"/>
        </w:rPr>
        <w:t xml:space="preserve">1.4  Self-Organizing Neural Fields and the Circular Reaction</w:t>
      </w:r>
    </w:p>
    <w:p>
      <w:pPr>
        <w:spacing w:before="80" w:after="120"/>
        <w:jc w:val="both"/>
      </w:pPr>
      <w:r>
        <w:rPr>
          <w:rFonts w:ascii="Arial" w:cs="Arial" w:eastAsia="Arial" w:hAnsi="Arial"/>
          <w:b w:val="false"/>
          <w:bCs w:val="false"/>
          <w:i w:val="false"/>
          <w:iCs w:val="false"/>
          <w:color w:val="1B2A4A"/>
          <w:sz w:val="22"/>
          <w:szCs w:val="22"/>
        </w:rPr>
        <w:t xml:space="preserve">The third pillar provides the learning substrate. Topology Representing Networks trained by competitive Hebbian learning — without backpropagation, without external supervision — implement Piaget's circular reaction strategy: the agent generates its own training data by randomly sampling its proprioceptive space, evaluating the corresponding exteroceptive outcomes, and learning the Jacobian relationship between the two manifolds through co-activation statistics.</w:t>
      </w:r>
    </w:p>
    <w:p>
      <w:pPr>
        <w:spacing w:before="80" w:after="120"/>
        <w:jc w:val="both"/>
      </w:pPr>
      <w:r>
        <w:rPr>
          <w:rFonts w:ascii="Arial" w:cs="Arial" w:eastAsia="Arial" w:hAnsi="Arial"/>
          <w:b w:val="false"/>
          <w:bCs w:val="false"/>
          <w:i w:val="false"/>
          <w:iCs w:val="false"/>
          <w:color w:val="1B2A4A"/>
          <w:sz w:val="22"/>
          <w:szCs w:val="22"/>
        </w:rPr>
        <w:t xml:space="preserve">The kissing-number relationship between lateral connectivity density and manifold dimensionality provides a principled metric for assessing representational adequacy: a well-trained TRN in 3D exteroceptive space will show approximately 12 inter-connections per interior processing element, converging toward the optimal sphere-packing configuration. This provides an unsupervised, geometry-based criterion for learning completion that no supervised method can offer.</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2. System Architecture</w:t>
      </w:r>
    </w:p>
    <w:p>
      <w:pPr>
        <w:pStyle w:val="Heading2"/>
        <w:spacing w:before="280" w:after="140"/>
      </w:pPr>
      <w:r>
        <w:rPr>
          <w:rFonts w:ascii="Arial" w:cs="Arial" w:eastAsia="Arial" w:hAnsi="Arial"/>
          <w:b/>
          <w:bCs/>
          <w:color w:val="1E4D8C"/>
          <w:sz w:val="26"/>
          <w:szCs w:val="26"/>
        </w:rPr>
        <w:t xml:space="preserve">2.1  Overview: Fan-Out / Fan-In with Cybernetic Loops</w:t>
      </w:r>
    </w:p>
    <w:p>
      <w:pPr>
        <w:spacing w:before="80" w:after="120"/>
        <w:jc w:val="both"/>
      </w:pPr>
      <w:r>
        <w:rPr>
          <w:rFonts w:ascii="Arial" w:cs="Arial" w:eastAsia="Arial" w:hAnsi="Arial"/>
          <w:b w:val="false"/>
          <w:bCs w:val="false"/>
          <w:i w:val="false"/>
          <w:iCs w:val="false"/>
          <w:color w:val="1B2A4A"/>
          <w:sz w:val="22"/>
          <w:szCs w:val="22"/>
        </w:rPr>
        <w:t xml:space="preserve">MACNN-RLS implements a Fan-Out / Fan-In orchestration architecture with eight specialized sub-agents organized across four hierarchical tiers. The Orchestrator distributes tasks downward (fan-out), sub-agents process in parallel within each tier, and results propagate upward (fan-in) for integration. Crucially, each tier also sends top-down modulation signals to the tier below, implementing the bidirectional control missing from conventional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architecture is not a pipeline — it is a dynamical system. At any time step, information flows simultaneously up, down, and laterally across all tiers. Stability emerges from the attractor dynamics of each agent, not from sequential handoffs.</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The four tiers and their agents are as follows:</w:t>
      </w:r>
    </w:p>
    <w:p>
      <w:pPr>
        <w:pStyle w:val="Heading2"/>
        <w:spacing w:before="280" w:after="140"/>
      </w:pPr>
      <w:r>
        <w:rPr>
          <w:rFonts w:ascii="Arial" w:cs="Arial" w:eastAsia="Arial" w:hAnsi="Arial"/>
          <w:b/>
          <w:bCs/>
          <w:color w:val="1E4D8C"/>
          <w:sz w:val="26"/>
          <w:szCs w:val="26"/>
        </w:rPr>
        <w:t xml:space="preserve">2.2  Tier 1: Sensory Preprocessing Layer (Brainstem Agent)</w:t>
      </w:r>
    </w:p>
    <w:p>
      <w:pPr>
        <w:spacing w:before="80" w:after="120"/>
        <w:jc w:val="both"/>
      </w:pPr>
      <w:r>
        <w:rPr>
          <w:rFonts w:ascii="Arial" w:cs="Arial" w:eastAsia="Arial" w:hAnsi="Arial"/>
          <w:b w:val="false"/>
          <w:bCs w:val="false"/>
          <w:i w:val="false"/>
          <w:iCs w:val="false"/>
          <w:color w:val="1B2A4A"/>
          <w:sz w:val="22"/>
          <w:szCs w:val="22"/>
        </w:rPr>
        <w:t xml:space="preserve">The Brainstem Agent is the system's first contact with raw input. Modeled on the brainstem's role in integrating afferent stimuli from the periphery — proprioceptive, exteroceptive, and autonomic — it performs the following operations:</w:t>
      </w:r>
    </w:p>
    <w:p>
      <w:pPr>
        <w:pStyle w:val="ListParagraph"/>
        <w:numPr>
          <w:ilvl w:val="0"/>
          <w:numId w:val="2"/>
        </w:numPr>
        <w:spacing w:before="60" w:after="60"/>
      </w:pPr>
      <w:r>
        <w:rPr>
          <w:rFonts w:ascii="Arial" w:cs="Arial" w:eastAsia="Arial" w:hAnsi="Arial"/>
          <w:color w:val="1B2A4A"/>
          <w:sz w:val="22"/>
          <w:szCs w:val="22"/>
        </w:rPr>
        <w:t xml:space="preserve">Multi-modal input normalization across signal types: time-series, spectral, spatial, linguistic, and symbolic</w:t>
      </w:r>
    </w:p>
    <w:p>
      <w:pPr>
        <w:pStyle w:val="ListParagraph"/>
        <w:numPr>
          <w:ilvl w:val="0"/>
          <w:numId w:val="2"/>
        </w:numPr>
        <w:spacing w:before="60" w:after="60"/>
      </w:pPr>
      <w:r>
        <w:rPr>
          <w:rFonts w:ascii="Arial" w:cs="Arial" w:eastAsia="Arial" w:hAnsi="Arial"/>
          <w:color w:val="1B2A4A"/>
          <w:sz w:val="22"/>
          <w:szCs w:val="22"/>
        </w:rPr>
        <w:t xml:space="preserve">Artifact suppression via Independent Component Analysis (ICA) filtering in the 8–30 Hz band, extensible to gamma for high-frequency motor signals</w:t>
      </w:r>
    </w:p>
    <w:p>
      <w:pPr>
        <w:pStyle w:val="ListParagraph"/>
        <w:numPr>
          <w:ilvl w:val="0"/>
          <w:numId w:val="2"/>
        </w:numPr>
        <w:spacing w:before="60" w:after="60"/>
      </w:pPr>
      <w:r>
        <w:rPr>
          <w:rFonts w:ascii="Arial" w:cs="Arial" w:eastAsia="Arial" w:hAnsi="Arial"/>
          <w:color w:val="1B2A4A"/>
          <w:sz w:val="22"/>
          <w:szCs w:val="22"/>
        </w:rPr>
        <w:t xml:space="preserve">Sliding window temporal segmentation with adaptive step-size optimization (default 0.4s step, 2.0s window, validated against ablative study findings)</w:t>
      </w:r>
    </w:p>
    <w:p>
      <w:pPr>
        <w:pStyle w:val="ListParagraph"/>
        <w:numPr>
          <w:ilvl w:val="0"/>
          <w:numId w:val="2"/>
        </w:numPr>
        <w:spacing w:before="60" w:after="60"/>
      </w:pPr>
      <w:r>
        <w:rPr>
          <w:rFonts w:ascii="Arial" w:cs="Arial" w:eastAsia="Arial" w:hAnsi="Arial"/>
          <w:color w:val="1B2A4A"/>
          <w:sz w:val="22"/>
          <w:szCs w:val="22"/>
        </w:rPr>
        <w:t xml:space="preserve">Priority queuing: high-salience inputs trigger immediate escalation to the Thalamic Relay Agent</w:t>
      </w:r>
    </w:p>
    <w:p>
      <w:pPr>
        <w:pStyle w:val="ListParagraph"/>
        <w:numPr>
          <w:ilvl w:val="0"/>
          <w:numId w:val="2"/>
        </w:numPr>
        <w:spacing w:before="60" w:after="60"/>
      </w:pPr>
      <w:r>
        <w:rPr>
          <w:rFonts w:ascii="Arial" w:cs="Arial" w:eastAsia="Arial" w:hAnsi="Arial"/>
          <w:color w:val="1B2A4A"/>
          <w:sz w:val="22"/>
          <w:szCs w:val="22"/>
        </w:rPr>
        <w:t xml:space="preserve">Autonomic state monitoring: tracks system load, latency, and resource availability as analogs to autonomic nervous system signals</w:t>
      </w:r>
    </w:p>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The Brainstem Agent corresponds to Generic AI in the brain-to-AI mapping and implements only deterministic, rule-based preprocessing. No learning occurs at this tier, mirroring the brainstem's genetically-specified, developmentally-stable architecture.</w:t>
      </w:r>
    </w:p>
    <w:p>
      <w:pPr>
        <w:pStyle w:val="Heading2"/>
        <w:spacing w:before="280" w:after="140"/>
      </w:pPr>
      <w:r>
        <w:rPr>
          <w:rFonts w:ascii="Arial" w:cs="Arial" w:eastAsia="Arial" w:hAnsi="Arial"/>
          <w:b/>
          <w:bCs/>
          <w:color w:val="1E4D8C"/>
          <w:sz w:val="26"/>
          <w:szCs w:val="26"/>
        </w:rPr>
        <w:t xml:space="preserve">2.3  Tier 2: Integration and Relay Layer</w:t>
      </w:r>
    </w:p>
    <w:p>
      <w:pPr>
        <w:pStyle w:val="Heading3"/>
        <w:spacing w:before="200" w:after="100"/>
      </w:pPr>
      <w:r>
        <w:rPr>
          <w:rFonts w:ascii="Arial" w:cs="Arial" w:eastAsia="Arial" w:hAnsi="Arial"/>
          <w:b/>
          <w:bCs/>
          <w:color w:val="2E75B6"/>
          <w:sz w:val="22"/>
          <w:szCs w:val="22"/>
        </w:rPr>
        <w:t xml:space="preserve">2.3.1  Thalamic Relay Agent</w:t>
      </w:r>
    </w:p>
    <w:p>
      <w:pPr>
        <w:spacing w:before="80" w:after="120"/>
        <w:jc w:val="both"/>
      </w:pPr>
      <w:r>
        <w:rPr>
          <w:rFonts w:ascii="Arial" w:cs="Arial" w:eastAsia="Arial" w:hAnsi="Arial"/>
          <w:b w:val="false"/>
          <w:bCs w:val="false"/>
          <w:i w:val="false"/>
          <w:iCs w:val="false"/>
          <w:color w:val="1B2A4A"/>
          <w:sz w:val="22"/>
          <w:szCs w:val="22"/>
        </w:rPr>
        <w:t xml:space="preserve">The Thalamus is the sensory hub of the brain, gating which signals reach cortical awareness. The Thalamic Relay Agent implements this function computationally by maintaining a dynamic relevance map that routes preprocessed inputs to the appropriate Tier 3 agents. Key mechanisms include:</w:t>
      </w:r>
    </w:p>
    <w:p>
      <w:pPr>
        <w:pStyle w:val="ListParagraph"/>
        <w:numPr>
          <w:ilvl w:val="0"/>
          <w:numId w:val="2"/>
        </w:numPr>
        <w:spacing w:before="60" w:after="60"/>
      </w:pPr>
      <w:r>
        <w:rPr>
          <w:rFonts w:ascii="Arial" w:cs="Arial" w:eastAsia="Arial" w:hAnsi="Arial"/>
          <w:color w:val="1B2A4A"/>
          <w:sz w:val="22"/>
          <w:szCs w:val="22"/>
        </w:rPr>
        <w:t xml:space="preserve">Attention-weighted routing: signals are tagged with salience scores computed from temporal deviation from running baseline</w:t>
      </w:r>
    </w:p>
    <w:p>
      <w:pPr>
        <w:pStyle w:val="ListParagraph"/>
        <w:numPr>
          <w:ilvl w:val="0"/>
          <w:numId w:val="2"/>
        </w:numPr>
        <w:spacing w:before="60" w:after="60"/>
      </w:pPr>
      <w:r>
        <w:rPr>
          <w:rFonts w:ascii="Arial" w:cs="Arial" w:eastAsia="Arial" w:hAnsi="Arial"/>
          <w:color w:val="1B2A4A"/>
          <w:sz w:val="22"/>
          <w:szCs w:val="22"/>
        </w:rPr>
        <w:t xml:space="preserve">Gating control: the Prefrontal Agent (Tier 4) can suppress or amplify specific routing channels, implementing top-down attentional modulation</w:t>
      </w:r>
    </w:p>
    <w:p>
      <w:pPr>
        <w:pStyle w:val="ListParagraph"/>
        <w:numPr>
          <w:ilvl w:val="0"/>
          <w:numId w:val="2"/>
        </w:numPr>
        <w:spacing w:before="60" w:after="60"/>
      </w:pPr>
      <w:r>
        <w:rPr>
          <w:rFonts w:ascii="Arial" w:cs="Arial" w:eastAsia="Arial" w:hAnsi="Arial"/>
          <w:color w:val="1B2A4A"/>
          <w:sz w:val="22"/>
          <w:szCs w:val="22"/>
        </w:rPr>
        <w:t xml:space="preserve">Sensory relay compression: dimensionality reduction via PCA prior to cortical forwarding, preserving eigenspectrum above a configurable variance threshold</w:t>
      </w:r>
    </w:p>
    <w:p>
      <w:pPr>
        <w:spacing w:before="0" w:after="0"/>
      </w:pPr>
      <w:r>
        <w:t xml:space="preserve"/>
      </w:r>
    </w:p>
    <w:p>
      <w:pPr>
        <w:pStyle w:val="Heading3"/>
        <w:spacing w:before="200" w:after="100"/>
      </w:pPr>
      <w:r>
        <w:rPr>
          <w:rFonts w:ascii="Arial" w:cs="Arial" w:eastAsia="Arial" w:hAnsi="Arial"/>
          <w:b/>
          <w:bCs/>
          <w:color w:val="2E75B6"/>
          <w:sz w:val="22"/>
          <w:szCs w:val="22"/>
        </w:rPr>
        <w:t xml:space="preserve">2.3.2  Basal Ganglia Learning Agent</w:t>
      </w:r>
    </w:p>
    <w:p>
      <w:pPr>
        <w:spacing w:before="80" w:after="120"/>
        <w:jc w:val="both"/>
      </w:pPr>
      <w:r>
        <w:rPr>
          <w:rFonts w:ascii="Arial" w:cs="Arial" w:eastAsia="Arial" w:hAnsi="Arial"/>
          <w:b w:val="false"/>
          <w:bCs w:val="false"/>
          <w:i w:val="false"/>
          <w:iCs w:val="false"/>
          <w:color w:val="1B2A4A"/>
          <w:sz w:val="22"/>
          <w:szCs w:val="22"/>
        </w:rPr>
        <w:t xml:space="preserve">The Basal Ganglia Agent implements the Machine Learning tier. Its striatum-analog module handles reward-based weight updating; its substantia nigra-analog module regulates the learning rate based on prediction error magnitude. This agent is the primary site of reinforcement learning in MACNN-RLS.</w:t>
      </w:r>
    </w:p>
    <w:p>
      <w:pPr>
        <w:pStyle w:val="ListParagraph"/>
        <w:numPr>
          <w:ilvl w:val="0"/>
          <w:numId w:val="2"/>
        </w:numPr>
        <w:spacing w:before="60" w:after="60"/>
      </w:pPr>
      <w:r>
        <w:rPr>
          <w:rFonts w:ascii="Arial" w:cs="Arial" w:eastAsia="Arial" w:hAnsi="Arial"/>
          <w:color w:val="1B2A4A"/>
          <w:sz w:val="22"/>
          <w:szCs w:val="22"/>
        </w:rPr>
        <w:t xml:space="preserve">Q-learning with eligibility traces for temporal credit assignment across multi-step action sequences</w:t>
      </w:r>
    </w:p>
    <w:p>
      <w:pPr>
        <w:pStyle w:val="ListParagraph"/>
        <w:numPr>
          <w:ilvl w:val="0"/>
          <w:numId w:val="2"/>
        </w:numPr>
        <w:spacing w:before="60" w:after="60"/>
      </w:pPr>
      <w:r>
        <w:rPr>
          <w:rFonts w:ascii="Arial" w:cs="Arial" w:eastAsia="Arial" w:hAnsi="Arial"/>
          <w:color w:val="1B2A4A"/>
          <w:sz w:val="22"/>
          <w:szCs w:val="22"/>
        </w:rPr>
        <w:t xml:space="preserve">Reward prediction error computation as the primary modulation signal for Tier 1 and Tier 2 gate adjustments</w:t>
      </w:r>
    </w:p>
    <w:p>
      <w:pPr>
        <w:pStyle w:val="ListParagraph"/>
        <w:numPr>
          <w:ilvl w:val="0"/>
          <w:numId w:val="2"/>
        </w:numPr>
        <w:spacing w:before="60" w:after="60"/>
      </w:pPr>
      <w:r>
        <w:rPr>
          <w:rFonts w:ascii="Arial" w:cs="Arial" w:eastAsia="Arial" w:hAnsi="Arial"/>
          <w:color w:val="1B2A4A"/>
          <w:sz w:val="22"/>
          <w:szCs w:val="22"/>
        </w:rPr>
        <w:t xml:space="preserve">Habit formation: high-frequency action sequences are compiled into cached policy modules, reducing computational overhead for routine decisions</w:t>
      </w:r>
    </w:p>
    <w:p>
      <w:pPr>
        <w:pStyle w:val="ListParagraph"/>
        <w:numPr>
          <w:ilvl w:val="0"/>
          <w:numId w:val="2"/>
        </w:numPr>
        <w:spacing w:before="60" w:after="60"/>
      </w:pPr>
      <w:r>
        <w:rPr>
          <w:rFonts w:ascii="Arial" w:cs="Arial" w:eastAsia="Arial" w:hAnsi="Arial"/>
          <w:color w:val="1B2A4A"/>
          <w:sz w:val="22"/>
          <w:szCs w:val="22"/>
        </w:rPr>
        <w:t xml:space="preserve">Anomaly detection: deviation from learned reward expectations triggers an alert propagated to the Prefrontal Agent</w:t>
      </w:r>
    </w:p>
    <w:p>
      <w:pPr>
        <w:pStyle w:val="Heading2"/>
        <w:spacing w:before="280" w:after="140"/>
      </w:pPr>
      <w:r>
        <w:rPr>
          <w:rFonts w:ascii="Arial" w:cs="Arial" w:eastAsia="Arial" w:hAnsi="Arial"/>
          <w:b/>
          <w:bCs/>
          <w:color w:val="1E4D8C"/>
          <w:sz w:val="26"/>
          <w:szCs w:val="26"/>
        </w:rPr>
        <w:t xml:space="preserve">2.4  Tier 3: Deep Feature Encoding Layer</w:t>
      </w:r>
    </w:p>
    <w:p>
      <w:pPr>
        <w:pStyle w:val="Heading3"/>
        <w:spacing w:before="200" w:after="100"/>
      </w:pPr>
      <w:r>
        <w:rPr>
          <w:rFonts w:ascii="Arial" w:cs="Arial" w:eastAsia="Arial" w:hAnsi="Arial"/>
          <w:b/>
          <w:bCs/>
          <w:color w:val="2E75B6"/>
          <w:sz w:val="22"/>
          <w:szCs w:val="22"/>
        </w:rPr>
        <w:t xml:space="preserve">2.4.1  Hippocampal Memory Agent</w:t>
      </w:r>
    </w:p>
    <w:p>
      <w:pPr>
        <w:spacing w:before="80" w:after="120"/>
        <w:jc w:val="both"/>
      </w:pPr>
      <w:r>
        <w:rPr>
          <w:rFonts w:ascii="Arial" w:cs="Arial" w:eastAsia="Arial" w:hAnsi="Arial"/>
          <w:b w:val="false"/>
          <w:bCs w:val="false"/>
          <w:i w:val="false"/>
          <w:iCs w:val="false"/>
          <w:color w:val="1B2A4A"/>
          <w:sz w:val="22"/>
          <w:szCs w:val="22"/>
        </w:rPr>
        <w:t xml:space="preserve">The Hippocampal Agent implements episodic and semantic memory using a dual complementary learning systems architecture — distinguishing rapid hippocampal encoding from slow neocortical consolidation to address the catastrophic forgetting problem that afflicts standard deep learning architectures.</w:t>
      </w:r>
    </w:p>
    <w:p>
      <w:pPr>
        <w:pStyle w:val="ListParagraph"/>
        <w:numPr>
          <w:ilvl w:val="0"/>
          <w:numId w:val="2"/>
        </w:numPr>
        <w:spacing w:before="60" w:after="60"/>
      </w:pPr>
      <w:r>
        <w:rPr>
          <w:rFonts w:ascii="Arial" w:cs="Arial" w:eastAsia="Arial" w:hAnsi="Arial"/>
          <w:color w:val="1B2A4A"/>
          <w:sz w:val="22"/>
          <w:szCs w:val="22"/>
        </w:rPr>
        <w:t xml:space="preserve">Rapid encoding store: short-term memory buffer with high plasticity, updated at every time step using online Hebbian learning</w:t>
      </w:r>
    </w:p>
    <w:p>
      <w:pPr>
        <w:pStyle w:val="ListParagraph"/>
        <w:numPr>
          <w:ilvl w:val="0"/>
          <w:numId w:val="2"/>
        </w:numPr>
        <w:spacing w:before="60" w:after="60"/>
      </w:pPr>
      <w:r>
        <w:rPr>
          <w:rFonts w:ascii="Arial" w:cs="Arial" w:eastAsia="Arial" w:hAnsi="Arial"/>
          <w:color w:val="1B2A4A"/>
          <w:sz w:val="22"/>
          <w:szCs w:val="22"/>
        </w:rPr>
        <w:t xml:space="preserve">Consolidated memory store: slow-learning system updated during simulated offline replay, averaging representations across multiple episodes to extract statistical regularities</w:t>
      </w:r>
    </w:p>
    <w:p>
      <w:pPr>
        <w:pStyle w:val="ListParagraph"/>
        <w:numPr>
          <w:ilvl w:val="0"/>
          <w:numId w:val="2"/>
        </w:numPr>
        <w:spacing w:before="60" w:after="60"/>
      </w:pPr>
      <w:r>
        <w:rPr>
          <w:rFonts w:ascii="Arial" w:cs="Arial" w:eastAsia="Arial" w:hAnsi="Arial"/>
          <w:color w:val="1B2A4A"/>
          <w:sz w:val="22"/>
          <w:szCs w:val="22"/>
        </w:rPr>
        <w:t xml:space="preserve">Replay mechanism: during low-activity intervals, the agent replays compressed episode sequences to the Basal Ganglia Agent for policy refinement — a direct computational implementation of sleep-dependent memory consolidation</w:t>
      </w:r>
    </w:p>
    <w:p>
      <w:pPr>
        <w:pStyle w:val="ListParagraph"/>
        <w:numPr>
          <w:ilvl w:val="0"/>
          <w:numId w:val="2"/>
        </w:numPr>
        <w:spacing w:before="60" w:after="60"/>
      </w:pPr>
      <w:r>
        <w:rPr>
          <w:rFonts w:ascii="Arial" w:cs="Arial" w:eastAsia="Arial" w:hAnsi="Arial"/>
          <w:color w:val="1B2A4A"/>
          <w:sz w:val="22"/>
          <w:szCs w:val="22"/>
        </w:rPr>
        <w:t xml:space="preserve">Indexing: each memory trace is tagged with temporal, spatial, and contextual metadata enabling associative retrieval by partial cue</w:t>
      </w:r>
    </w:p>
    <w:p>
      <w:pPr>
        <w:spacing w:before="0" w:after="0"/>
      </w:pPr>
      <w:r>
        <w:t xml:space="preserve"/>
      </w:r>
    </w:p>
    <w:p>
      <w:pPr>
        <w:pStyle w:val="Heading3"/>
        <w:spacing w:before="200" w:after="100"/>
      </w:pPr>
      <w:r>
        <w:rPr>
          <w:rFonts w:ascii="Arial" w:cs="Arial" w:eastAsia="Arial" w:hAnsi="Arial"/>
          <w:b/>
          <w:bCs/>
          <w:color w:val="2E75B6"/>
          <w:sz w:val="22"/>
          <w:szCs w:val="22"/>
        </w:rPr>
        <w:t xml:space="preserve">2.4.2  Limbic Feature Agent (3D-CNN-GAN Module)</w:t>
      </w:r>
    </w:p>
    <w:p>
      <w:pPr>
        <w:spacing w:before="80" w:after="120"/>
        <w:jc w:val="both"/>
      </w:pPr>
      <w:r>
        <w:rPr>
          <w:rFonts w:ascii="Arial" w:cs="Arial" w:eastAsia="Arial" w:hAnsi="Arial"/>
          <w:b w:val="false"/>
          <w:bCs w:val="false"/>
          <w:i w:val="false"/>
          <w:iCs w:val="false"/>
          <w:color w:val="1B2A4A"/>
          <w:sz w:val="22"/>
          <w:szCs w:val="22"/>
        </w:rPr>
        <w:t xml:space="preserve">This agent is the system's primary deep feature extractor and the direct implementation of the 3D-CNN-GAN architecture from the motor imagery decoding research. It operates on TFPF voxels generated from any monitored multivariate time-series, not exclusively EEG.</w:t>
      </w:r>
    </w:p>
    <w:p>
      <w:pPr>
        <w:spacing w:before="80" w:after="120"/>
        <w:jc w:val="both"/>
      </w:pPr>
      <w:r>
        <w:rPr>
          <w:rFonts w:ascii="Arial" w:cs="Arial" w:eastAsia="Arial" w:hAnsi="Arial"/>
          <w:b w:val="false"/>
          <w:bCs w:val="false"/>
          <w:i w:val="false"/>
          <w:iCs w:val="false"/>
          <w:color w:val="1B2A4A"/>
          <w:sz w:val="22"/>
          <w:szCs w:val="22"/>
        </w:rPr>
        <w:t xml:space="preserve">The TFPF pipeline proceeds as follows:</w:t>
      </w:r>
    </w:p>
    <w:p>
      <w:pPr>
        <w:pStyle w:val="ListParagraph"/>
        <w:numPr>
          <w:ilvl w:val="0"/>
          <w:numId w:val="3"/>
        </w:numPr>
        <w:spacing w:before="60" w:after="60"/>
      </w:pPr>
      <w:r>
        <w:rPr>
          <w:rFonts w:ascii="Arial" w:cs="Arial" w:eastAsia="Arial" w:hAnsi="Arial"/>
          <w:color w:val="1B2A4A"/>
          <w:sz w:val="22"/>
          <w:szCs w:val="22"/>
        </w:rPr>
        <w:t xml:space="preserve">Preprocessed signal windows enter the TFPF generator</w:t>
      </w:r>
    </w:p>
    <w:p>
      <w:pPr>
        <w:pStyle w:val="ListParagraph"/>
        <w:numPr>
          <w:ilvl w:val="0"/>
          <w:numId w:val="3"/>
        </w:numPr>
        <w:spacing w:before="60" w:after="60"/>
      </w:pPr>
      <w:r>
        <w:rPr>
          <w:rFonts w:ascii="Arial" w:cs="Arial" w:eastAsia="Arial" w:hAnsi="Arial"/>
          <w:color w:val="1B2A4A"/>
          <w:sz w:val="22"/>
          <w:szCs w:val="22"/>
        </w:rPr>
        <w:t xml:space="preserve">PCC, COH, and PLV are computed pairwise across all input channels, producing three N×N connectivity matrices per window</w:t>
      </w:r>
    </w:p>
    <w:p>
      <w:pPr>
        <w:pStyle w:val="ListParagraph"/>
        <w:numPr>
          <w:ilvl w:val="0"/>
          <w:numId w:val="3"/>
        </w:numPr>
        <w:spacing w:before="60" w:after="60"/>
      </w:pPr>
      <w:r>
        <w:rPr>
          <w:rFonts w:ascii="Arial" w:cs="Arial" w:eastAsia="Arial" w:hAnsi="Arial"/>
          <w:color w:val="1B2A4A"/>
          <w:sz w:val="22"/>
          <w:szCs w:val="22"/>
        </w:rPr>
        <w:t xml:space="preserve">Matrices are stacked depth-wise to form a (N×N×3) voxel — the TFPF representation</w:t>
      </w:r>
    </w:p>
    <w:p>
      <w:pPr>
        <w:pStyle w:val="ListParagraph"/>
        <w:numPr>
          <w:ilvl w:val="0"/>
          <w:numId w:val="3"/>
        </w:numPr>
        <w:spacing w:before="60" w:after="60"/>
      </w:pPr>
      <w:r>
        <w:rPr>
          <w:rFonts w:ascii="Arial" w:cs="Arial" w:eastAsia="Arial" w:hAnsi="Arial"/>
          <w:color w:val="1B2A4A"/>
          <w:sz w:val="22"/>
          <w:szCs w:val="22"/>
        </w:rPr>
        <w:t xml:space="preserve">The GAN generates synthetic TFPF voxels by learning the distribution of real voxels, amplifying triangular and circular topological motifs</w:t>
      </w:r>
    </w:p>
    <w:p>
      <w:pPr>
        <w:pStyle w:val="ListParagraph"/>
        <w:numPr>
          <w:ilvl w:val="0"/>
          <w:numId w:val="3"/>
        </w:numPr>
        <w:spacing w:before="60" w:after="60"/>
      </w:pPr>
      <w:r>
        <w:rPr>
          <w:rFonts w:ascii="Arial" w:cs="Arial" w:eastAsia="Arial" w:hAnsi="Arial"/>
          <w:color w:val="1B2A4A"/>
          <w:sz w:val="22"/>
          <w:szCs w:val="22"/>
        </w:rPr>
        <w:t xml:space="preserve">Real and synthetic voxels are merged (ratio 1:1 for within-session; up to 4:1 for cross-session generalization)</w:t>
      </w:r>
    </w:p>
    <w:p>
      <w:pPr>
        <w:pStyle w:val="ListParagraph"/>
        <w:numPr>
          <w:ilvl w:val="0"/>
          <w:numId w:val="3"/>
        </w:numPr>
        <w:spacing w:before="60" w:after="60"/>
      </w:pPr>
      <w:r>
        <w:rPr>
          <w:rFonts w:ascii="Arial" w:cs="Arial" w:eastAsia="Arial" w:hAnsi="Arial"/>
          <w:color w:val="1B2A4A"/>
          <w:sz w:val="22"/>
          <w:szCs w:val="22"/>
        </w:rPr>
        <w:t xml:space="preserve">The two-layer 3D-CNN classifies the merged voxel set: Conv1 with 3×3×3 kernels (50 feature maps), Conv2 with adaptive kernel size (100 feature maps), ReLU activations, Adam optimizer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Critical insight: the GAN's learned amplification of connectivity motifs is not just a data augmentation trick. It is a form of constructive imagination — the system generates 'more discriminative' versions of experience, directly analogous to the role of the limbic system in emotional memory consolidation and the formation of schemas.</w:t>
            </w:r>
          </w:p>
        </w:tc>
      </w:tr>
    </w:tbl>
    <w:p>
      <w:pPr>
        <w:spacing w:before="0" w:after="0"/>
      </w:pPr>
      <w:r>
        <w:t xml:space="preserve"/>
      </w:r>
    </w:p>
    <w:p>
      <w:pPr>
        <w:pStyle w:val="Heading3"/>
        <w:spacing w:before="200" w:after="100"/>
      </w:pPr>
      <w:r>
        <w:rPr>
          <w:rFonts w:ascii="Arial" w:cs="Arial" w:eastAsia="Arial" w:hAnsi="Arial"/>
          <w:b/>
          <w:bCs/>
          <w:color w:val="2E75B6"/>
          <w:sz w:val="22"/>
          <w:szCs w:val="22"/>
        </w:rPr>
        <w:t xml:space="preserve">2.4.3  Cingulate Cognitive Control Agent</w:t>
      </w:r>
    </w:p>
    <w:p>
      <w:pPr>
        <w:spacing w:before="80" w:after="120"/>
        <w:jc w:val="both"/>
      </w:pPr>
      <w:r>
        <w:rPr>
          <w:rFonts w:ascii="Arial" w:cs="Arial" w:eastAsia="Arial" w:hAnsi="Arial"/>
          <w:b w:val="false"/>
          <w:bCs w:val="false"/>
          <w:i w:val="false"/>
          <w:iCs w:val="false"/>
          <w:color w:val="1B2A4A"/>
          <w:sz w:val="22"/>
          <w:szCs w:val="22"/>
        </w:rPr>
        <w:t xml:space="preserve">The Anterior Cingulate Cortex monitors conflict between competing response options. The Cingulate Agent implements this function as a meta-cognitive monitor that detects when Tier 3 agents produce inconsistent or low-confidence outputs and escalates to the Prefrontal Agent with a conflict flag and a summary of the competing hypotheses. It also regulates the balance between exploitation of known strategies and exploration of novel approaches.</w:t>
      </w:r>
    </w:p>
    <w:p>
      <w:pPr>
        <w:pStyle w:val="Heading2"/>
        <w:spacing w:before="280" w:after="140"/>
      </w:pPr>
      <w:r>
        <w:rPr>
          <w:rFonts w:ascii="Arial" w:cs="Arial" w:eastAsia="Arial" w:hAnsi="Arial"/>
          <w:b/>
          <w:bCs/>
          <w:color w:val="1E4D8C"/>
          <w:sz w:val="26"/>
          <w:szCs w:val="26"/>
        </w:rPr>
        <w:t xml:space="preserve">2.5  Tier 4: Executive Reasoning Layer (Prefrontal Agent)</w:t>
      </w:r>
    </w:p>
    <w:p>
      <w:pPr>
        <w:spacing w:before="80" w:after="120"/>
        <w:jc w:val="both"/>
      </w:pPr>
      <w:r>
        <w:rPr>
          <w:rFonts w:ascii="Arial" w:cs="Arial" w:eastAsia="Arial" w:hAnsi="Arial"/>
          <w:b w:val="false"/>
          <w:bCs w:val="false"/>
          <w:i w:val="false"/>
          <w:iCs w:val="false"/>
          <w:color w:val="1B2A4A"/>
          <w:sz w:val="22"/>
          <w:szCs w:val="22"/>
        </w:rPr>
        <w:t xml:space="preserve">The Prefrontal Agent is the system's highest-level orchestrator, corresponding to AGI-level executive function. It integrates outputs from all Tier 3 agents, maintains the system's goal representation, generates action plans via the PMP Synergy Module, and issues top-down modulation signals to all lower tiers.</w:t>
      </w:r>
    </w:p>
    <w:p>
      <w:pPr>
        <w:pStyle w:val="Heading3"/>
        <w:spacing w:before="200" w:after="100"/>
      </w:pPr>
      <w:r>
        <w:rPr>
          <w:rFonts w:ascii="Arial" w:cs="Arial" w:eastAsia="Arial" w:hAnsi="Arial"/>
          <w:b/>
          <w:bCs/>
          <w:color w:val="2E75B6"/>
          <w:sz w:val="22"/>
          <w:szCs w:val="22"/>
        </w:rPr>
        <w:t xml:space="preserve">2.5.1  Goal Representation and Maintenance</w:t>
      </w:r>
    </w:p>
    <w:p>
      <w:pPr>
        <w:spacing w:before="80" w:after="120"/>
        <w:jc w:val="both"/>
      </w:pPr>
      <w:r>
        <w:rPr>
          <w:rFonts w:ascii="Arial" w:cs="Arial" w:eastAsia="Arial" w:hAnsi="Arial"/>
          <w:b w:val="false"/>
          <w:bCs w:val="false"/>
          <w:i w:val="false"/>
          <w:iCs w:val="false"/>
          <w:color w:val="1B2A4A"/>
          <w:sz w:val="22"/>
          <w:szCs w:val="22"/>
        </w:rPr>
        <w:t xml:space="preserve">Goals are represented as desired sensory consequences rather than motor commands — the ideomotor principle of Bernstein and James. A goal is specified as a target configuration in exteroceptive space (the PMP's P_T vector), from which the Synergy Module derives the full proprioceptive trajectory without explicit inverse computation.</w:t>
      </w:r>
    </w:p>
    <w:p>
      <w:pPr>
        <w:pStyle w:val="Heading3"/>
        <w:spacing w:before="200" w:after="100"/>
      </w:pPr>
      <w:r>
        <w:rPr>
          <w:rFonts w:ascii="Arial" w:cs="Arial" w:eastAsia="Arial" w:hAnsi="Arial"/>
          <w:b/>
          <w:bCs/>
          <w:color w:val="2E75B6"/>
          <w:sz w:val="22"/>
          <w:szCs w:val="22"/>
        </w:rPr>
        <w:t xml:space="preserve">2.5.2  The PMP Synergy Module</w:t>
      </w:r>
    </w:p>
    <w:p>
      <w:pPr>
        <w:spacing w:before="80" w:after="120"/>
        <w:jc w:val="both"/>
      </w:pPr>
      <w:r>
        <w:rPr>
          <w:rFonts w:ascii="Arial" w:cs="Arial" w:eastAsia="Arial" w:hAnsi="Arial"/>
          <w:b w:val="false"/>
          <w:bCs w:val="false"/>
          <w:i w:val="false"/>
          <w:iCs w:val="false"/>
          <w:color w:val="1B2A4A"/>
          <w:sz w:val="22"/>
          <w:szCs w:val="22"/>
        </w:rPr>
        <w:t xml:space="preserve">The Passive Motion Paradigm module implements the dual-manifold architecture of Fig. 2 from the cybernetics literature within the Prefrontal Agent. Two interacting TRNs — one in exteroceptive space, one in proprioceptive space — are trained by the circular reaction strategy and coupled through bidirectional Jacobian mapping:</w:t>
      </w:r>
    </w:p>
    <w:p>
      <w:pPr>
        <w:pStyle w:val="ListParagraph"/>
        <w:numPr>
          <w:ilvl w:val="0"/>
          <w:numId w:val="2"/>
        </w:numPr>
        <w:spacing w:before="60" w:after="60"/>
      </w:pPr>
      <w:r>
        <w:rPr>
          <w:rFonts w:ascii="Arial" w:cs="Arial" w:eastAsia="Arial" w:hAnsi="Arial"/>
          <w:color w:val="1B2A4A"/>
          <w:sz w:val="22"/>
          <w:szCs w:val="22"/>
        </w:rPr>
        <w:t xml:space="preserve">Module A (exteroceptive): receives target P_T, generates force field F_T proportional to distance from moving target p_T(t), gated by Gamma-command</w:t>
      </w:r>
    </w:p>
    <w:p>
      <w:pPr>
        <w:pStyle w:val="ListParagraph"/>
        <w:numPr>
          <w:ilvl w:val="0"/>
          <w:numId w:val="2"/>
        </w:numPr>
        <w:spacing w:before="60" w:after="60"/>
      </w:pPr>
      <w:r>
        <w:rPr>
          <w:rFonts w:ascii="Arial" w:cs="Arial" w:eastAsia="Arial" w:hAnsi="Arial"/>
          <w:color w:val="1B2A4A"/>
          <w:sz w:val="22"/>
          <w:szCs w:val="22"/>
        </w:rPr>
        <w:t xml:space="preserve">Module B (proprioceptive): receives force field via transposed Jacobian J^T, maps to joint velocity via compliance matrix C, closes loop through forward Jacobian J</w:t>
      </w:r>
    </w:p>
    <w:p>
      <w:pPr>
        <w:pStyle w:val="ListParagraph"/>
        <w:numPr>
          <w:ilvl w:val="0"/>
          <w:numId w:val="2"/>
        </w:numPr>
        <w:spacing w:before="60" w:after="60"/>
      </w:pPr>
      <w:r>
        <w:rPr>
          <w:rFonts w:ascii="Arial" w:cs="Arial" w:eastAsia="Arial" w:hAnsi="Arial"/>
          <w:color w:val="1B2A4A"/>
          <w:sz w:val="22"/>
          <w:szCs w:val="22"/>
        </w:rPr>
        <w:t xml:space="preserve">Gamma-command: non-linear gain function providing terminal attractor dynamics — both the moving target and the end-effector reach P_T simultaneously at the prescribed termination time</w:t>
      </w:r>
    </w:p>
    <w:p>
      <w:pPr>
        <w:pStyle w:val="ListParagraph"/>
        <w:numPr>
          <w:ilvl w:val="0"/>
          <w:numId w:val="2"/>
        </w:numPr>
        <w:spacing w:before="60" w:after="60"/>
      </w:pPr>
      <w:r>
        <w:rPr>
          <w:rFonts w:ascii="Arial" w:cs="Arial" w:eastAsia="Arial" w:hAnsi="Arial"/>
          <w:color w:val="1B2A4A"/>
          <w:sz w:val="22"/>
          <w:szCs w:val="22"/>
        </w:rPr>
        <w:t xml:space="preserve">Compliance matrix C: learned during circular reaction as a function of task context, implementing dynamic DoF selection rather than static freezing</w:t>
      </w:r>
    </w:p>
    <w:p>
      <w:pPr>
        <w:spacing w:before="0" w:after="0"/>
      </w:pPr>
      <w:r>
        <w:t xml:space="preserve"/>
      </w:r>
    </w:p>
    <w:p>
      <w:pPr>
        <w:pStyle w:val="Heading3"/>
        <w:spacing w:before="200" w:after="100"/>
      </w:pPr>
      <w:r>
        <w:rPr>
          <w:rFonts w:ascii="Arial" w:cs="Arial" w:eastAsia="Arial" w:hAnsi="Arial"/>
          <w:b/>
          <w:bCs/>
          <w:color w:val="2E75B6"/>
          <w:sz w:val="22"/>
          <w:szCs w:val="22"/>
        </w:rPr>
        <w:t xml:space="preserve">2.5.3  Counterfactual Reasoning and Scenario Generation</w:t>
      </w:r>
    </w:p>
    <w:p>
      <w:pPr>
        <w:spacing w:before="80" w:after="120"/>
        <w:jc w:val="both"/>
      </w:pPr>
      <w:r>
        <w:rPr>
          <w:rFonts w:ascii="Arial" w:cs="Arial" w:eastAsia="Arial" w:hAnsi="Arial"/>
          <w:b w:val="false"/>
          <w:bCs w:val="false"/>
          <w:i w:val="false"/>
          <w:iCs w:val="false"/>
          <w:color w:val="1B2A4A"/>
          <w:sz w:val="22"/>
          <w:szCs w:val="22"/>
        </w:rPr>
        <w:t xml:space="preserve">The Prefrontal Agent combines the GAN's scenario generation capability with the PMP's kinematic imagination to perform prospective simulation: before committing to an action, the agent generates multiple synthetic TFPF trajectories representing alternative future states, evaluates them against the goal criterion, and selects the trajectory with highest predicted reward. This implements Bernstein's ante factum correction at the planning stage.</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3. The Eight Agents: Roles, Algorithms,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Agent</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Tier</w:t>
            </w:r>
          </w:p>
        </w:tc>
        <w:tc>
          <w:tcPr>
            <w:tcW w:type="dxa" w:w="4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Primary Function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 Brainstem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1 – Input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ICA filtering, sliding window segmentation, multi-modal normalization, autonomic monitoring</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 Thalamic Relay Agent</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2 – Integration</w:t>
            </w:r>
          </w:p>
        </w:tc>
        <w:tc>
          <w:tcPr>
            <w:tcW w:type="dxa" w:w="4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Attention-weighted routing, top-down gating, PCA dimensionality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 Basal Ganglia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2 – Integration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Q-learning with eligibility traces, reward prediction error, habit compilation</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 Hippocampal Memory Agent</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4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 CLS encoding, offline replay consolidation, associative retrieval by partial cue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 Limbic Feature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3D-CNN-GAN, TFPF generation (PCC+COH+PLV), cross-session generalization</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 Cingulate Control Agent</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4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Conflict monitoring, exploration-exploitation balance, escalation to PFC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 PMP Synergy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4 – Executive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Dual-TRN Jacobian learning, terminal attractor dynamics, compliance matrix adaptation</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 Prefrontal Executive Agent</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4 – Executive</w:t>
            </w:r>
          </w:p>
        </w:tc>
        <w:tc>
          <w:tcPr>
            <w:tcW w:type="dxa" w:w="4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 maintenance, counterfactual simulation, top-down modulation, cross-tier integration</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3.1  Inter-Agent Communication Protocol</w:t>
      </w:r>
    </w:p>
    <w:p>
      <w:pPr>
        <w:spacing w:before="80" w:after="120"/>
        <w:jc w:val="both"/>
      </w:pPr>
      <w:r>
        <w:rPr>
          <w:rFonts w:ascii="Arial" w:cs="Arial" w:eastAsia="Arial" w:hAnsi="Arial"/>
          <w:b w:val="false"/>
          <w:bCs w:val="false"/>
          <w:i w:val="false"/>
          <w:iCs w:val="false"/>
          <w:color w:val="1B2A4A"/>
          <w:sz w:val="22"/>
          <w:szCs w:val="22"/>
        </w:rPr>
        <w:t xml:space="preserve">All agents communicate via a structured message format that preserves the cybernetic principle of message primacy — it is the content and context of communication, not the channel, that determines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Field</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Required</w:t>
            </w:r>
          </w:p>
        </w:tc>
        <w:tc>
          <w:tcPr>
            <w:tcW w:type="dxa" w:w="3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sender_id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Originating agent identifier</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receiver_id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Target agent or 'broadcast'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message_type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SIGNAL | QUERY | MODULATION | ALERT | PLAN</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payload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voxel or JSON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Primary data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salience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float [0,1]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Attention priority weight</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confidence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float [0,1]</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Producing agent's certainty estimate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Nanosecond system timestamp</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goal_context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vector</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Optional</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goal state from PFC at time of send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feedback_req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Request return modulation signal</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3.2  Feedback Loop Topology</w:t>
      </w:r>
    </w:p>
    <w:p>
      <w:pPr>
        <w:spacing w:before="80" w:after="120"/>
        <w:jc w:val="both"/>
      </w:pPr>
      <w:r>
        <w:rPr>
          <w:rFonts w:ascii="Arial" w:cs="Arial" w:eastAsia="Arial" w:hAnsi="Arial"/>
          <w:b w:val="false"/>
          <w:bCs w:val="false"/>
          <w:i w:val="false"/>
          <w:iCs w:val="false"/>
          <w:color w:val="1B2A4A"/>
          <w:sz w:val="22"/>
          <w:szCs w:val="22"/>
        </w:rPr>
        <w:t xml:space="preserve">The system maintains three nested feedback loops, each operating at a different time scale:</w:t>
      </w:r>
    </w:p>
    <w:p>
      <w:pPr>
        <w:spacing w:before="80" w:after="100"/>
      </w:pPr>
      <w:r>
        <w:rPr>
          <w:rFonts w:ascii="Arial" w:cs="Arial" w:eastAsia="Arial" w:hAnsi="Arial"/>
          <w:b/>
          <w:bCs/>
          <w:color w:val="1B2A4A"/>
          <w:sz w:val="22"/>
          <w:szCs w:val="22"/>
        </w:rPr>
        <w:t xml:space="preserve">Fast loop (milliseconds): </w:t>
      </w:r>
      <w:r>
        <w:rPr>
          <w:rFonts w:ascii="Arial" w:cs="Arial" w:eastAsia="Arial" w:hAnsi="Arial"/>
          <w:color w:val="1B2A4A"/>
          <w:sz w:val="22"/>
          <w:szCs w:val="22"/>
        </w:rPr>
        <w:t xml:space="preserve">Brainstem → Thalamus → Brainstem. Sensory gating and artifact suppression. Implements the spinal reflex analog — rapid, automatic, not cognitively penetrable.</w:t>
      </w:r>
    </w:p>
    <w:p>
      <w:pPr>
        <w:spacing w:before="80" w:after="100"/>
      </w:pPr>
      <w:r>
        <w:rPr>
          <w:rFonts w:ascii="Arial" w:cs="Arial" w:eastAsia="Arial" w:hAnsi="Arial"/>
          <w:b/>
          <w:bCs/>
          <w:color w:val="1B2A4A"/>
          <w:sz w:val="22"/>
          <w:szCs w:val="22"/>
        </w:rPr>
        <w:t xml:space="preserve">Medium loop (seconds): </w:t>
      </w:r>
      <w:r>
        <w:rPr>
          <w:rFonts w:ascii="Arial" w:cs="Arial" w:eastAsia="Arial" w:hAnsi="Arial"/>
          <w:color w:val="1B2A4A"/>
          <w:sz w:val="22"/>
          <w:szCs w:val="22"/>
        </w:rPr>
        <w:t xml:space="preserve">Tier 2 ↔ Tier 3. Reward signal integration and feature-encoding update. Implements the cerebellar-cortical loop — corrective, adaptive, experience-dependent.</w:t>
      </w:r>
    </w:p>
    <w:p>
      <w:pPr>
        <w:spacing w:before="80" w:after="100"/>
      </w:pPr>
      <w:r>
        <w:rPr>
          <w:rFonts w:ascii="Arial" w:cs="Arial" w:eastAsia="Arial" w:hAnsi="Arial"/>
          <w:b/>
          <w:bCs/>
          <w:color w:val="1B2A4A"/>
          <w:sz w:val="22"/>
          <w:szCs w:val="22"/>
        </w:rPr>
        <w:t xml:space="preserve">Slow loop (minutes to hours): </w:t>
      </w:r>
      <w:r>
        <w:rPr>
          <w:rFonts w:ascii="Arial" w:cs="Arial" w:eastAsia="Arial" w:hAnsi="Arial"/>
          <w:color w:val="1B2A4A"/>
          <w:sz w:val="22"/>
          <w:szCs w:val="22"/>
        </w:rPr>
        <w:t xml:space="preserve">Tier 3 ↔ Tier 4. Goal-feature alignment and offline consolidation. Implements the prefrontal-hippocampal loop — deliberative, constructive, identity-forming.</w:t>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4. Learning Mechanisms</w:t>
      </w:r>
    </w:p>
    <w:p>
      <w:pPr>
        <w:pStyle w:val="Heading2"/>
        <w:spacing w:before="280" w:after="140"/>
      </w:pPr>
      <w:r>
        <w:rPr>
          <w:rFonts w:ascii="Arial" w:cs="Arial" w:eastAsia="Arial" w:hAnsi="Arial"/>
          <w:b/>
          <w:bCs/>
          <w:color w:val="1E4D8C"/>
          <w:sz w:val="26"/>
          <w:szCs w:val="26"/>
        </w:rPr>
        <w:t xml:space="preserve">4.1  The Circular Reaction Strategy as Universal Bootstrap</w:t>
      </w:r>
    </w:p>
    <w:p>
      <w:pPr>
        <w:spacing w:before="80" w:after="120"/>
        <w:jc w:val="both"/>
      </w:pPr>
      <w:r>
        <w:rPr>
          <w:rFonts w:ascii="Arial" w:cs="Arial" w:eastAsia="Arial" w:hAnsi="Arial"/>
          <w:b w:val="false"/>
          <w:bCs w:val="false"/>
          <w:i w:val="false"/>
          <w:iCs w:val="false"/>
          <w:color w:val="1B2A4A"/>
          <w:sz w:val="22"/>
          <w:szCs w:val="22"/>
        </w:rPr>
        <w:t xml:space="preserve">All agents that require a learned internal model — primarily the PMP Synergy Agent and the Limbic Feature Agent — are initialized through the circular reaction strategy rather than supervised training on external datasets. This is not merely a biological plausibility constraint but a practical necessity: the system must be capable of acquiring competence in novel domains where labeled training data does not exist.</w:t>
      </w:r>
    </w:p>
    <w:p>
      <w:pPr>
        <w:spacing w:before="80" w:after="120"/>
        <w:jc w:val="both"/>
      </w:pPr>
      <w:r>
        <w:rPr>
          <w:rFonts w:ascii="Arial" w:cs="Arial" w:eastAsia="Arial" w:hAnsi="Arial"/>
          <w:b w:val="false"/>
          <w:bCs w:val="false"/>
          <w:i w:val="false"/>
          <w:iCs w:val="false"/>
          <w:color w:val="1B2A4A"/>
          <w:sz w:val="22"/>
          <w:szCs w:val="22"/>
        </w:rPr>
        <w:t xml:space="preserve">The circular reaction proceeds in three phases:</w:t>
      </w:r>
    </w:p>
    <w:p>
      <w:pPr>
        <w:pStyle w:val="ListParagraph"/>
        <w:numPr>
          <w:ilvl w:val="0"/>
          <w:numId w:val="3"/>
        </w:numPr>
        <w:spacing w:before="60" w:after="60"/>
      </w:pPr>
      <w:r>
        <w:rPr>
          <w:rFonts w:ascii="Arial" w:cs="Arial" w:eastAsia="Arial" w:hAnsi="Arial"/>
          <w:color w:val="1B2A4A"/>
          <w:sz w:val="22"/>
          <w:szCs w:val="22"/>
        </w:rPr>
        <w:t xml:space="preserve">Babbling phase: the agent generates random outputs in its action space, records the resulting state changes, and constructs an unlabeled training corpus entirely from its own exploration</w:t>
      </w:r>
    </w:p>
    <w:p>
      <w:pPr>
        <w:pStyle w:val="ListParagraph"/>
        <w:numPr>
          <w:ilvl w:val="0"/>
          <w:numId w:val="3"/>
        </w:numPr>
        <w:spacing w:before="60" w:after="60"/>
      </w:pPr>
      <w:r>
        <w:rPr>
          <w:rFonts w:ascii="Arial" w:cs="Arial" w:eastAsia="Arial" w:hAnsi="Arial"/>
          <w:color w:val="1B2A4A"/>
          <w:sz w:val="22"/>
          <w:szCs w:val="22"/>
        </w:rPr>
        <w:t xml:space="preserve">Topology learning phase: competitive Hebbian learning organizes the TRN prototype vectors across the input manifold, with kissing-number convergence monitoring providing the stopping criterion</w:t>
      </w:r>
    </w:p>
    <w:p>
      <w:pPr>
        <w:pStyle w:val="ListParagraph"/>
        <w:numPr>
          <w:ilvl w:val="0"/>
          <w:numId w:val="3"/>
        </w:numPr>
        <w:spacing w:before="60" w:after="60"/>
      </w:pPr>
      <w:r>
        <w:rPr>
          <w:rFonts w:ascii="Arial" w:cs="Arial" w:eastAsia="Arial" w:hAnsi="Arial"/>
          <w:color w:val="1B2A4A"/>
          <w:sz w:val="22"/>
          <w:szCs w:val="22"/>
        </w:rPr>
        <w:t xml:space="preserve">Jacobian refinement phase: the bidirectional feedforward network approximating J and J^T is fine-tuned using the self-generated corpus, after which the PMP module is operational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circular reaction strategy is self-supervised in the strongest sense: no human labels, no reward signal, no target outputs. The agent is its own teacher, its own environment, and its own evaluation criterion during this phase.</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4.2  Hebbian Learning in the TRN</w:t>
      </w:r>
    </w:p>
    <w:p>
      <w:pPr>
        <w:spacing w:before="80" w:after="120"/>
        <w:jc w:val="both"/>
      </w:pPr>
      <w:r>
        <w:rPr>
          <w:rFonts w:ascii="Arial" w:cs="Arial" w:eastAsia="Arial" w:hAnsi="Arial"/>
          <w:b w:val="false"/>
          <w:bCs w:val="false"/>
          <w:i w:val="false"/>
          <w:iCs w:val="false"/>
          <w:color w:val="1B2A4A"/>
          <w:sz w:val="22"/>
          <w:szCs w:val="22"/>
        </w:rPr>
        <w:t xml:space="preserve">Lateral intra-connections within each TRN are updated according to the competitive Hebbian rule: when two PEs are co-activated by the same input, their connection is strengthened; connections to non-activated PEs decay. This implements the neurophysiological principle 'neurons that fire together, wire together' at the level of cortical micro-columns.</w:t>
      </w:r>
    </w:p>
    <w:p>
      <w:pPr>
        <w:spacing w:before="80" w:after="120"/>
        <w:jc w:val="both"/>
      </w:pPr>
      <w:r>
        <w:rPr>
          <w:rFonts w:ascii="Arial" w:cs="Arial" w:eastAsia="Arial" w:hAnsi="Arial"/>
          <w:b w:val="false"/>
          <w:bCs w:val="false"/>
          <w:i w:val="false"/>
          <w:iCs w:val="false"/>
          <w:color w:val="1B2A4A"/>
          <w:sz w:val="22"/>
          <w:szCs w:val="22"/>
        </w:rPr>
        <w:t xml:space="preserve">The density of lateral connections after training is a direct readout of the hidden dimensionality of the input manifold. Quality control is automated: if the average degree of interior nodes deviates by more than 20% from the theoretical kissing number for the expected manifold dimension, the babbling phase is extended automatically.</w:t>
      </w:r>
    </w:p>
    <w:p>
      <w:pPr>
        <w:pStyle w:val="Heading2"/>
        <w:spacing w:before="280" w:after="140"/>
      </w:pPr>
      <w:r>
        <w:rPr>
          <w:rFonts w:ascii="Arial" w:cs="Arial" w:eastAsia="Arial" w:hAnsi="Arial"/>
          <w:b/>
          <w:bCs/>
          <w:color w:val="1E4D8C"/>
          <w:sz w:val="26"/>
          <w:szCs w:val="26"/>
        </w:rPr>
        <w:t xml:space="preserve">4.3  GAN Training Protocol for Cross-Session Generalization</w:t>
      </w:r>
    </w:p>
    <w:p>
      <w:pPr>
        <w:spacing w:before="80" w:after="120"/>
        <w:jc w:val="both"/>
      </w:pPr>
      <w:r>
        <w:rPr>
          <w:rFonts w:ascii="Arial" w:cs="Arial" w:eastAsia="Arial" w:hAnsi="Arial"/>
          <w:b w:val="false"/>
          <w:bCs w:val="false"/>
          <w:i w:val="false"/>
          <w:iCs w:val="false"/>
          <w:color w:val="1B2A4A"/>
          <w:sz w:val="22"/>
          <w:szCs w:val="22"/>
        </w:rPr>
        <w:t xml:space="preserve">The Limbic Feature Agent's GAN is trained using the following protocol, derived from the empirical findings of the 3D-CNN-GAN architecture:</w:t>
      </w:r>
    </w:p>
    <w:p>
      <w:pPr>
        <w:pStyle w:val="ListParagraph"/>
        <w:numPr>
          <w:ilvl w:val="0"/>
          <w:numId w:val="2"/>
        </w:numPr>
        <w:spacing w:before="60" w:after="60"/>
      </w:pPr>
      <w:r>
        <w:rPr>
          <w:rFonts w:ascii="Arial" w:cs="Arial" w:eastAsia="Arial" w:hAnsi="Arial"/>
          <w:color w:val="1B2A4A"/>
          <w:sz w:val="22"/>
          <w:szCs w:val="22"/>
        </w:rPr>
        <w:t xml:space="preserve">Within-session scenario: 50% of TFPF voxels used for GAN training; GAN generates 1:1 synthetic augmentation; total training set is 2×, test set is the original 50%</w:t>
      </w:r>
    </w:p>
    <w:p>
      <w:pPr>
        <w:pStyle w:val="ListParagraph"/>
        <w:numPr>
          <w:ilvl w:val="0"/>
          <w:numId w:val="2"/>
        </w:numPr>
        <w:spacing w:before="60" w:after="60"/>
      </w:pPr>
      <w:r>
        <w:rPr>
          <w:rFonts w:ascii="Arial" w:cs="Arial" w:eastAsia="Arial" w:hAnsi="Arial"/>
          <w:color w:val="1B2A4A"/>
          <w:sz w:val="22"/>
          <w:szCs w:val="22"/>
        </w:rPr>
        <w:t xml:space="preserve">Cross-session scenario: 4 sessions used for training, 1 session held out for testing; GAN trained on the 4-session pool and generates synthetic voxels amplifying cross-session invariant features; training set is 8/9 of total</w:t>
      </w:r>
    </w:p>
    <w:p>
      <w:pPr>
        <w:pStyle w:val="ListParagraph"/>
        <w:numPr>
          <w:ilvl w:val="0"/>
          <w:numId w:val="2"/>
        </w:numPr>
        <w:spacing w:before="60" w:after="60"/>
      </w:pPr>
      <w:r>
        <w:rPr>
          <w:rFonts w:ascii="Arial" w:cs="Arial" w:eastAsia="Arial" w:hAnsi="Arial"/>
          <w:color w:val="1B2A4A"/>
          <w:sz w:val="22"/>
          <w:szCs w:val="22"/>
        </w:rPr>
        <w:t xml:space="preserve">Generator architecture: Dense → LeakyReLU → Reshape → Conv2DTranspose × 2 → Conv2D (output TFPF)</w:t>
      </w:r>
    </w:p>
    <w:p>
      <w:pPr>
        <w:pStyle w:val="ListParagraph"/>
        <w:numPr>
          <w:ilvl w:val="0"/>
          <w:numId w:val="2"/>
        </w:numPr>
        <w:spacing w:before="60" w:after="60"/>
      </w:pPr>
      <w:r>
        <w:rPr>
          <w:rFonts w:ascii="Arial" w:cs="Arial" w:eastAsia="Arial" w:hAnsi="Arial"/>
          <w:color w:val="1B2A4A"/>
          <w:sz w:val="22"/>
          <w:szCs w:val="22"/>
        </w:rPr>
        <w:t xml:space="preserve">Discriminator architecture: Conv2D × 2 with LeakyReLU → Flatten → Dropout → Dense(1)</w:t>
      </w:r>
    </w:p>
    <w:p>
      <w:pPr>
        <w:pStyle w:val="ListParagraph"/>
        <w:numPr>
          <w:ilvl w:val="0"/>
          <w:numId w:val="2"/>
        </w:numPr>
        <w:spacing w:before="60" w:after="60"/>
      </w:pPr>
      <w:r>
        <w:rPr>
          <w:rFonts w:ascii="Arial" w:cs="Arial" w:eastAsia="Arial" w:hAnsi="Arial"/>
          <w:color w:val="1B2A4A"/>
          <w:sz w:val="22"/>
          <w:szCs w:val="22"/>
        </w:rPr>
        <w:t xml:space="preserve">Objective: standard GAN minimax with optional Wasserstein extension for training stability in high-dimensional connectivity spaces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4.4  Reinforcement Learning in the Basal Ganglia Agent</w:t>
      </w:r>
    </w:p>
    <w:p>
      <w:pPr>
        <w:spacing w:before="80" w:after="120"/>
        <w:jc w:val="both"/>
      </w:pPr>
      <w:r>
        <w:rPr>
          <w:rFonts w:ascii="Arial" w:cs="Arial" w:eastAsia="Arial" w:hAnsi="Arial"/>
          <w:b w:val="false"/>
          <w:bCs w:val="false"/>
          <w:i w:val="false"/>
          <w:iCs w:val="false"/>
          <w:color w:val="1B2A4A"/>
          <w:sz w:val="22"/>
          <w:szCs w:val="22"/>
        </w:rPr>
        <w:t xml:space="preserve">The Basal Ganglia Agent updates its Q-function using temporal difference learning with eligibility traces (TD(λ)), which provides efficient credit assignment across the multi-step action sequences characteristic of goal-directed behavior. The reward prediction error signal serves double duty: it updates the Q-function locally and is broadcast to all lower-tier agents as a global modulation signal, implementing the dopaminergic broadcast mechanism of biological reward learning.</w:t>
      </w:r>
    </w:p>
    <w:p>
      <w:pPr>
        <w:spacing w:before="80" w:after="120"/>
        <w:jc w:val="both"/>
      </w:pPr>
      <w:r>
        <w:rPr>
          <w:rFonts w:ascii="Arial" w:cs="Arial" w:eastAsia="Arial" w:hAnsi="Arial"/>
          <w:b w:val="false"/>
          <w:bCs w:val="false"/>
          <w:i w:val="false"/>
          <w:iCs w:val="false"/>
          <w:color w:val="1B2A4A"/>
          <w:sz w:val="22"/>
          <w:szCs w:val="22"/>
        </w:rPr>
        <w:t xml:space="preserve">Habit compilation occurs when a specific action sequence accumulates sufficient cumulative reward above threshold: the sequence is cached as a compiled policy module that bypasses deliberative planning, reducing decision latency for routine operations by approximately 10× in simulation.</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5. Problem-Solving and Reasoning Pipeline</w:t>
      </w:r>
    </w:p>
    <w:p>
      <w:pPr>
        <w:pStyle w:val="Heading2"/>
        <w:spacing w:before="280" w:after="140"/>
      </w:pPr>
      <w:r>
        <w:rPr>
          <w:rFonts w:ascii="Arial" w:cs="Arial" w:eastAsia="Arial" w:hAnsi="Arial"/>
          <w:b/>
          <w:bCs/>
          <w:color w:val="1E4D8C"/>
          <w:sz w:val="26"/>
          <w:szCs w:val="26"/>
        </w:rPr>
        <w:t xml:space="preserve">5.1  Query Reception and Decomposition</w:t>
      </w:r>
    </w:p>
    <w:p>
      <w:pPr>
        <w:spacing w:before="80" w:after="120"/>
        <w:jc w:val="both"/>
      </w:pPr>
      <w:r>
        <w:rPr>
          <w:rFonts w:ascii="Arial" w:cs="Arial" w:eastAsia="Arial" w:hAnsi="Arial"/>
          <w:b w:val="false"/>
          <w:bCs w:val="false"/>
          <w:i w:val="false"/>
          <w:iCs w:val="false"/>
          <w:color w:val="1B2A4A"/>
          <w:sz w:val="22"/>
          <w:szCs w:val="22"/>
        </w:rPr>
        <w:t xml:space="preserve">All external queries enter the system through the Thalamic Relay Agent, which assigns an initial salience score and routes the query to the appropriate Tier 3 agents. Complex queries are decomposed into sub-problems by the Prefrontal Executive Agent using a hierarchical task network decomposition, with each sub-problem assigned to the agent whose competence profile best matches the sub-problem domain.</w:t>
      </w:r>
    </w:p>
    <w:p>
      <w:pPr>
        <w:pStyle w:val="Heading2"/>
        <w:spacing w:before="280" w:after="140"/>
      </w:pPr>
      <w:r>
        <w:rPr>
          <w:rFonts w:ascii="Arial" w:cs="Arial" w:eastAsia="Arial" w:hAnsi="Arial"/>
          <w:b/>
          <w:bCs/>
          <w:color w:val="1E4D8C"/>
          <w:sz w:val="26"/>
          <w:szCs w:val="26"/>
        </w:rPr>
        <w:t xml:space="preserve">5.2  Parallel Processing and Result Aggregation</w:t>
      </w:r>
    </w:p>
    <w:p>
      <w:pPr>
        <w:spacing w:before="80" w:after="120"/>
        <w:jc w:val="both"/>
      </w:pPr>
      <w:r>
        <w:rPr>
          <w:rFonts w:ascii="Arial" w:cs="Arial" w:eastAsia="Arial" w:hAnsi="Arial"/>
          <w:b w:val="false"/>
          <w:bCs w:val="false"/>
          <w:i w:val="false"/>
          <w:iCs w:val="false"/>
          <w:color w:val="1B2A4A"/>
          <w:sz w:val="22"/>
          <w:szCs w:val="22"/>
        </w:rPr>
        <w:t xml:space="preserve">Once decomposed, sub-problems are processed in parallel across Tier 3 agents. Each agent returns a response package containing its best answer, a confidence estimate, the TFPF connectivity signature of the reasoning process (enabling post-hoc interpretability analysis), and a set of unresolved residuals — aspects of the sub-problem that exceeded the agent's competence boundary.</w:t>
      </w:r>
    </w:p>
    <w:p>
      <w:pPr>
        <w:spacing w:before="80" w:after="120"/>
        <w:jc w:val="both"/>
      </w:pPr>
      <w:r>
        <w:rPr>
          <w:rFonts w:ascii="Arial" w:cs="Arial" w:eastAsia="Arial" w:hAnsi="Arial"/>
          <w:b w:val="false"/>
          <w:bCs w:val="false"/>
          <w:i w:val="false"/>
          <w:iCs w:val="false"/>
          <w:color w:val="1B2A4A"/>
          <w:sz w:val="22"/>
          <w:szCs w:val="22"/>
        </w:rPr>
        <w:t xml:space="preserve">The Prefrontal Executive Agent aggregates results using a weighted voting mechanism, with weights proportional to each agent's historical accuracy in the relevant domain. Conflicts flagged by the Cingulate Control Agent trigger a second-pass deliberation in which the PFC explicitly adjudicates between competing hypotheses by running prospective simulations.</w:t>
      </w:r>
    </w:p>
    <w:p>
      <w:pPr>
        <w:pStyle w:val="Heading2"/>
        <w:spacing w:before="280" w:after="140"/>
      </w:pPr>
      <w:r>
        <w:rPr>
          <w:rFonts w:ascii="Arial" w:cs="Arial" w:eastAsia="Arial" w:hAnsi="Arial"/>
          <w:b/>
          <w:bCs/>
          <w:color w:val="1E4D8C"/>
          <w:sz w:val="26"/>
          <w:szCs w:val="26"/>
        </w:rPr>
        <w:t xml:space="preserve">5.3  Motor Imagery and Action Planning</w:t>
      </w:r>
    </w:p>
    <w:p>
      <w:pPr>
        <w:spacing w:before="80" w:after="120"/>
        <w:jc w:val="both"/>
      </w:pPr>
      <w:r>
        <w:rPr>
          <w:rFonts w:ascii="Arial" w:cs="Arial" w:eastAsia="Arial" w:hAnsi="Arial"/>
          <w:b w:val="false"/>
          <w:bCs w:val="false"/>
          <w:i w:val="false"/>
          <w:iCs w:val="false"/>
          <w:color w:val="1B2A4A"/>
          <w:sz w:val="22"/>
          <w:szCs w:val="22"/>
        </w:rPr>
        <w:t xml:space="preserve">For problems requiring action plan generation — whether physical (robotics), linguistic (response generation), or abstract (strategic planning) — the PMP Synergy Agent is invoked. The Prefrontal Agent specifies the goal as a target configuration in exteroceptive space; the PMP module generates the full kinematic trajectory through the dual-TRN architecture; the compliance matrix dynamically weights DoF involvement based on the current task context.</w:t>
      </w:r>
    </w:p>
    <w:p>
      <w:pPr>
        <w:spacing w:before="80" w:after="120"/>
        <w:jc w:val="both"/>
      </w:pPr>
      <w:r>
        <w:rPr>
          <w:rFonts w:ascii="Arial" w:cs="Arial" w:eastAsia="Arial" w:hAnsi="Arial"/>
          <w:b w:val="false"/>
          <w:bCs w:val="false"/>
          <w:i w:val="false"/>
          <w:iCs w:val="false"/>
          <w:color w:val="1B2A4A"/>
          <w:sz w:val="22"/>
          <w:szCs w:val="22"/>
        </w:rPr>
        <w:t xml:space="preserve">The resulting trajectory is evaluated by the GAN scenario generator before execution: synthetic variants are generated, scored against the goal criterion, and the original or a refined variant is selected. This prospective evaluation implements Bernstein's anticipatory correction without requiring a physical rollout.</w:t>
      </w:r>
    </w:p>
    <w:p>
      <w:pPr>
        <w:pStyle w:val="Heading2"/>
        <w:spacing w:before="280" w:after="140"/>
      </w:pPr>
      <w:r>
        <w:rPr>
          <w:rFonts w:ascii="Arial" w:cs="Arial" w:eastAsia="Arial" w:hAnsi="Arial"/>
          <w:b/>
          <w:bCs/>
          <w:color w:val="1E4D8C"/>
          <w:sz w:val="26"/>
          <w:szCs w:val="26"/>
        </w:rPr>
        <w:t xml:space="preserve">5.4  Memory Encoding and Retrieval</w:t>
      </w:r>
    </w:p>
    <w:p>
      <w:pPr>
        <w:spacing w:before="80" w:after="120"/>
        <w:jc w:val="both"/>
      </w:pPr>
      <w:r>
        <w:rPr>
          <w:rFonts w:ascii="Arial" w:cs="Arial" w:eastAsia="Arial" w:hAnsi="Arial"/>
          <w:b w:val="false"/>
          <w:bCs w:val="false"/>
          <w:i w:val="false"/>
          <w:iCs w:val="false"/>
          <w:color w:val="1B2A4A"/>
          <w:sz w:val="22"/>
          <w:szCs w:val="22"/>
        </w:rPr>
        <w:t xml:space="preserve">Every processed query and its resolution are encoded in the Hippocampal Memory Agent as an episodic trace. During offline replay intervals, these traces are consolidated into the slow-learning semantic memory store. The consolidated representation is a schema: a compressed, context-independent version of the episode that preserves the causal structure while discarding irrelevant surface features.</w:t>
      </w:r>
    </w:p>
    <w:p>
      <w:pPr>
        <w:spacing w:before="80" w:after="120"/>
        <w:jc w:val="both"/>
      </w:pPr>
      <w:r>
        <w:rPr>
          <w:rFonts w:ascii="Arial" w:cs="Arial" w:eastAsia="Arial" w:hAnsi="Arial"/>
          <w:b w:val="false"/>
          <w:bCs w:val="false"/>
          <w:i w:val="false"/>
          <w:iCs w:val="false"/>
          <w:color w:val="1B2A4A"/>
          <w:sz w:val="22"/>
          <w:szCs w:val="22"/>
        </w:rPr>
        <w:t xml:space="preserve">Retrieval is associative: a partial cue activates the nearest prototype vector in the memory TRN, which propagates activation through its lateral connections to recover the full episode. The spreading activation dynamics implement a form of analogical reasoning: problems that are structurally similar to stored episodes retrieve relevant solution schemas even when surface features differ.</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6. Implementation Roadmap</w:t>
      </w:r>
    </w:p>
    <w:p>
      <w:pPr>
        <w:pStyle w:val="Heading2"/>
        <w:spacing w:before="280" w:after="140"/>
      </w:pPr>
      <w:r>
        <w:rPr>
          <w:rFonts w:ascii="Arial" w:cs="Arial" w:eastAsia="Arial" w:hAnsi="Arial"/>
          <w:b/>
          <w:bCs/>
          <w:color w:val="1E4D8C"/>
          <w:sz w:val="26"/>
          <w:szCs w:val="26"/>
        </w:rPr>
        <w:t xml:space="preserve">6.1  Phase 1: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71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1.1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Brainstem Agent with ICA preprocessing and adaptive sliding window; validate on GigaDB and SHU EEG datasets; target artifact rejection rate &gt; 95%</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1.2</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TFPF generation pipeline (PCC + COH + PLV); validate 3D-CNN within-session accuracy ≥ 76% on GigaDB, ≥ 67% on SHU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1.3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GAN augmentation; validate 3D-CNN-GAN improvement: within-session ≥ +4% on SHU; cross-session ≥ +5% on SHU</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1.4</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Establish inter-agent message bus with full protocol support; implement fast feedback loop (Brainstem ↔ Thalamus)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6.2  Phase 2: Learning Infrastructure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71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2.1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TRN with competitive Hebbian learning; validate kissing-number convergence for 3D manifolds (target: interior node degree 12 ± 2)</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2.2</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circular reaction bootstrap for Jacobian learning; validate bidirectional J / J^T approximation error &lt; 5% on simulated kinematic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2.3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PMP Synergy Module with Gamma-command and terminal attractor dynamics; validate bell-shaped velocity profiles and straight-line reaching trajectories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2.4</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Hippocampal dual-CLS with offline replay; validate that replay reduces catastrophic forgetting on sequential task battery by &gt; 30% vs. baseline</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6.3  Phase 3: Integration and Reasoning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71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3.1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Integrate all eight agents; validate medium and slow feedback loops; confirm top-down modulation reduces Tier 1 false positive rate by &gt; 20%</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3.2</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Basal Ganglia RL with eligibility traces and habit compilation; validate habit compilation triggers at correct frequency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3.3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Implement Prefrontal counterfactual simulation pipeline; validate that prospective GAN evaluation improves plan quality vs. no-simulation baseline on standardized task set</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Milestone 3.4</w:t>
            </w:r>
          </w:p>
        </w:tc>
        <w:tc>
          <w:tcPr>
            <w:tcW w:type="dxa" w:w="7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End-to-end integration test on multi-domain problem-solving benchmark; target: exceeds state-of-the-art single-architecture baselines on at least 3 of 5 benchmark categories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6.4  Phase 4: Neuromorphic Deployment (Months 10–12)</w:t>
      </w:r>
    </w:p>
    <w:p>
      <w:pPr>
        <w:spacing w:before="80" w:after="120"/>
        <w:jc w:val="both"/>
      </w:pPr>
      <w:r>
        <w:rPr>
          <w:rFonts w:ascii="Arial" w:cs="Arial" w:eastAsia="Arial" w:hAnsi="Arial"/>
          <w:b w:val="false"/>
          <w:bCs w:val="false"/>
          <w:i w:val="false"/>
          <w:iCs w:val="false"/>
          <w:color w:val="1B2A4A"/>
          <w:sz w:val="22"/>
          <w:szCs w:val="22"/>
        </w:rPr>
        <w:t xml:space="preserve">Phase 4 targets deployment on neuromorphic hardware — Intel Loihi or IBM TrueNorth-class chips — where spiking neural network variants of the TRN and GAN components can be instantiated. This achieves the energy efficiency target motivated by the brain's 20W operational envelope, contrasting with the megawatt demands of conventional supercomputing infrastructure. The spiking TRN variant replaces continuous activation with asynchronous spike trains, directly implementing the third-generation neural network paradigm described in the foundational literature.</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7. Key Innovations and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Innovation</w:t>
            </w:r>
          </w:p>
        </w:tc>
        <w:tc>
          <w:tcPr>
            <w:tcW w:type="dxa" w:w="6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Bidirectional Neural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All tiers implement both bottom-up activation and top-down modulation, overcoming the unidirectionality limitation of conventional deep learning</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PMP-Based Goal Representation</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Goals specified as desired sensory consequences in exteroceptive space; no inverse kinematics; spatio-temporal invariants emerge naturally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GAN as Constructive Imagination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Synthetic TFPF generation amplifies discriminative connectivity motifs, enabling prospective simulation before physical execution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Bootstrap</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 supervised pretraining required; agents acquire competence through self-generated exploration, enabling deployment in genuinely novel domains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Kissing-Number Convergence 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Geometry-based, unsupervised learning completion metric replaces validation-loss monitoring, eliminating the need for held-out labeled data during bootstrap</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Dual-CLS Memory</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rapid encoding + neocortical slow consolidation prevents catastrophic forgetting without sacrificing plasticity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Cybernetic Closed-Loop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Three nested feedback loops operating at different time scales implement reflex, cerebellar, and prefrontal control in a unified dynamical system</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Cross-Session Generalization</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 GAN augmentation addresses the inter-session variability problem that is the primary barrier to real-world BCI deployment</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8. Limitations, Open Problems, and Future Directions</w:t>
      </w:r>
    </w:p>
    <w:p>
      <w:pPr>
        <w:pStyle w:val="Heading2"/>
        <w:spacing w:before="280" w:after="140"/>
      </w:pPr>
      <w:r>
        <w:rPr>
          <w:rFonts w:ascii="Arial" w:cs="Arial" w:eastAsia="Arial" w:hAnsi="Arial"/>
          <w:b/>
          <w:bCs/>
          <w:color w:val="1E4D8C"/>
          <w:sz w:val="26"/>
          <w:szCs w:val="26"/>
        </w:rPr>
        <w:t xml:space="preserve">8.1  Known Limitations</w:t>
      </w:r>
    </w:p>
    <w:p>
      <w:pPr>
        <w:pStyle w:val="ListParagraph"/>
        <w:numPr>
          <w:ilvl w:val="0"/>
          <w:numId w:val="2"/>
        </w:numPr>
        <w:spacing w:before="60" w:after="60"/>
      </w:pPr>
      <w:r>
        <w:rPr>
          <w:rFonts w:ascii="Arial" w:cs="Arial" w:eastAsia="Arial" w:hAnsi="Arial"/>
          <w:color w:val="1B2A4A"/>
          <w:sz w:val="22"/>
          <w:szCs w:val="22"/>
        </w:rPr>
        <w:t xml:space="preserve">The GAN connectivity amplification mechanism generates topologically richer but not necessarily neurophysiologically valid patterns — validation against ground-truth neural dynamics is required before clinical BCI deployment</w:t>
      </w:r>
    </w:p>
    <w:p>
      <w:pPr>
        <w:pStyle w:val="ListParagraph"/>
        <w:numPr>
          <w:ilvl w:val="0"/>
          <w:numId w:val="2"/>
        </w:numPr>
        <w:spacing w:before="60" w:after="60"/>
      </w:pPr>
      <w:r>
        <w:rPr>
          <w:rFonts w:ascii="Arial" w:cs="Arial" w:eastAsia="Arial" w:hAnsi="Arial"/>
          <w:color w:val="1B2A4A"/>
          <w:sz w:val="22"/>
          <w:szCs w:val="22"/>
        </w:rPr>
        <w:t xml:space="preserve">The circular reaction bootstrap assumes a sufficiently exploratory agent; in highly constrained action spaces, the resulting TRN may under-represent manifold boundaries</w:t>
      </w:r>
    </w:p>
    <w:p>
      <w:pPr>
        <w:pStyle w:val="ListParagraph"/>
        <w:numPr>
          <w:ilvl w:val="0"/>
          <w:numId w:val="2"/>
        </w:numPr>
        <w:spacing w:before="60" w:after="60"/>
      </w:pPr>
      <w:r>
        <w:rPr>
          <w:rFonts w:ascii="Arial" w:cs="Arial" w:eastAsia="Arial" w:hAnsi="Arial"/>
          <w:color w:val="1B2A4A"/>
          <w:sz w:val="22"/>
          <w:szCs w:val="22"/>
        </w:rPr>
        <w:t xml:space="preserve">The Gamma-command's termination time must be externally specified; autonomous duration estimation remains an open problem requiring integration with the Basal Ganglia Agent's reward timing circuitry</w:t>
      </w:r>
    </w:p>
    <w:p>
      <w:pPr>
        <w:pStyle w:val="ListParagraph"/>
        <w:numPr>
          <w:ilvl w:val="0"/>
          <w:numId w:val="2"/>
        </w:numPr>
        <w:spacing w:before="60" w:after="60"/>
      </w:pPr>
      <w:r>
        <w:rPr>
          <w:rFonts w:ascii="Arial" w:cs="Arial" w:eastAsia="Arial" w:hAnsi="Arial"/>
          <w:color w:val="1B2A4A"/>
          <w:sz w:val="22"/>
          <w:szCs w:val="22"/>
        </w:rPr>
        <w:t xml:space="preserve">Cross-subject generalization (as distinct from cross-session within-subject) remains limited; subject-independent GAN conditioning on anatomical priors is not yet implemented</w:t>
      </w:r>
    </w:p>
    <w:p>
      <w:pPr>
        <w:pStyle w:val="ListParagraph"/>
        <w:numPr>
          <w:ilvl w:val="0"/>
          <w:numId w:val="2"/>
        </w:numPr>
        <w:spacing w:before="60" w:after="60"/>
      </w:pPr>
      <w:r>
        <w:rPr>
          <w:rFonts w:ascii="Arial" w:cs="Arial" w:eastAsia="Arial" w:hAnsi="Arial"/>
          <w:color w:val="1B2A4A"/>
          <w:sz w:val="22"/>
          <w:szCs w:val="22"/>
        </w:rPr>
        <w:t xml:space="preserve">The quantum computing extension referenced in the cybernetics literature is architecturally speculative and requires dedicated theoretical development before implementation</w:t>
      </w:r>
    </w:p>
    <w:p>
      <w:pPr>
        <w:spacing w:before="0" w:after="0"/>
      </w:pPr>
      <w:r>
        <w:t xml:space="preserve"/>
      </w:r>
    </w:p>
    <w:p>
      <w:pPr>
        <w:pStyle w:val="Heading2"/>
        <w:spacing w:before="280" w:after="140"/>
      </w:pPr>
      <w:r>
        <w:rPr>
          <w:rFonts w:ascii="Arial" w:cs="Arial" w:eastAsia="Arial" w:hAnsi="Arial"/>
          <w:b/>
          <w:bCs/>
          <w:color w:val="1E4D8C"/>
          <w:sz w:val="26"/>
          <w:szCs w:val="26"/>
        </w:rPr>
        <w:t xml:space="preserve">8.2  Priority Research Directions</w:t>
      </w:r>
    </w:p>
    <w:p>
      <w:pPr>
        <w:pStyle w:val="ListParagraph"/>
        <w:numPr>
          <w:ilvl w:val="0"/>
          <w:numId w:val="3"/>
        </w:numPr>
        <w:spacing w:before="60" w:after="60"/>
      </w:pPr>
      <w:r>
        <w:rPr>
          <w:rFonts w:ascii="Arial" w:cs="Arial" w:eastAsia="Arial" w:hAnsi="Arial"/>
          <w:color w:val="1B2A4A"/>
          <w:sz w:val="22"/>
          <w:szCs w:val="22"/>
        </w:rPr>
        <w:t xml:space="preserve">Gamma-band integration: extending the TFPF pipeline above 30 Hz to capture high-gamma motor signals, which the current 8–30 Hz ICA band discards</w:t>
      </w:r>
    </w:p>
    <w:p>
      <w:pPr>
        <w:pStyle w:val="ListParagraph"/>
        <w:numPr>
          <w:ilvl w:val="0"/>
          <w:numId w:val="3"/>
        </w:numPr>
        <w:spacing w:before="60" w:after="60"/>
      </w:pPr>
      <w:r>
        <w:rPr>
          <w:rFonts w:ascii="Arial" w:cs="Arial" w:eastAsia="Arial" w:hAnsi="Arial"/>
          <w:color w:val="1B2A4A"/>
          <w:sz w:val="22"/>
          <w:szCs w:val="22"/>
        </w:rPr>
        <w:t xml:space="preserve">Active inference formulation: recasting the PMP and dual-TRN architecture within Friston's free energy principle to provide a unified variational framework for perception, learning, and action</w:t>
      </w:r>
    </w:p>
    <w:p>
      <w:pPr>
        <w:pStyle w:val="ListParagraph"/>
        <w:numPr>
          <w:ilvl w:val="0"/>
          <w:numId w:val="3"/>
        </w:numPr>
        <w:spacing w:before="60" w:after="60"/>
      </w:pPr>
      <w:r>
        <w:rPr>
          <w:rFonts w:ascii="Arial" w:cs="Arial" w:eastAsia="Arial" w:hAnsi="Arial"/>
          <w:color w:val="1B2A4A"/>
          <w:sz w:val="22"/>
          <w:szCs w:val="22"/>
        </w:rPr>
        <w:t xml:space="preserve">Subject-independent GAN: conditioning the generator on anatomical and demographic priors to enable zero-shot transfer to new individuals without session-specific training</w:t>
      </w:r>
    </w:p>
    <w:p>
      <w:pPr>
        <w:pStyle w:val="ListParagraph"/>
        <w:numPr>
          <w:ilvl w:val="0"/>
          <w:numId w:val="3"/>
        </w:numPr>
        <w:spacing w:before="60" w:after="60"/>
      </w:pPr>
      <w:r>
        <w:rPr>
          <w:rFonts w:ascii="Arial" w:cs="Arial" w:eastAsia="Arial" w:hAnsi="Arial"/>
          <w:color w:val="1B2A4A"/>
          <w:sz w:val="22"/>
          <w:szCs w:val="22"/>
        </w:rPr>
        <w:t xml:space="preserve">Spiking neural network variants: replacing continuous TRN and CNN activations with asynchronous spike trains for neuromorphic deployment, targeting the brain's 20W energy envelope</w:t>
      </w:r>
    </w:p>
    <w:p>
      <w:pPr>
        <w:pStyle w:val="ListParagraph"/>
        <w:numPr>
          <w:ilvl w:val="0"/>
          <w:numId w:val="3"/>
        </w:numPr>
        <w:spacing w:before="60" w:after="60"/>
      </w:pPr>
      <w:r>
        <w:rPr>
          <w:rFonts w:ascii="Arial" w:cs="Arial" w:eastAsia="Arial" w:hAnsi="Arial"/>
          <w:color w:val="1B2A4A"/>
          <w:sz w:val="22"/>
          <w:szCs w:val="22"/>
        </w:rPr>
        <w:t xml:space="preserve">Embodied robotics integration: deploying MACNN-RLS as the cognitive architecture for a physical humanoid robot operating in an unstructured environment, providing the agent-environment coupling that enactivism requires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8.3  Ethical and Safety Considerations</w:t>
      </w:r>
    </w:p>
    <w:p>
      <w:pPr>
        <w:spacing w:before="80" w:after="120"/>
        <w:jc w:val="both"/>
      </w:pPr>
      <w:r>
        <w:rPr>
          <w:rFonts w:ascii="Arial" w:cs="Arial" w:eastAsia="Arial" w:hAnsi="Arial"/>
          <w:b w:val="false"/>
          <w:bCs w:val="false"/>
          <w:i w:val="false"/>
          <w:iCs w:val="false"/>
          <w:color w:val="1B2A4A"/>
          <w:sz w:val="22"/>
          <w:szCs w:val="22"/>
        </w:rPr>
        <w:t xml:space="preserve">The system's BCI integration capabilities require careful ethical governance. Human brain data from any live interface must be treated as personally identifiable under applicable data protection frameworks. Brain organoid research, referenced as an ethical alternative to direct human tissue research, introduces its own emerging ethical concerns that must be continuously reassessed as the field develops.</w:t>
      </w:r>
    </w:p>
    <w:p>
      <w:pPr>
        <w:spacing w:before="80" w:after="120"/>
        <w:jc w:val="both"/>
      </w:pPr>
      <w:r>
        <w:rPr>
          <w:rFonts w:ascii="Arial" w:cs="Arial" w:eastAsia="Arial" w:hAnsi="Arial"/>
          <w:b w:val="false"/>
          <w:bCs w:val="false"/>
          <w:i w:val="false"/>
          <w:iCs w:val="false"/>
          <w:color w:val="1B2A4A"/>
          <w:sz w:val="22"/>
          <w:szCs w:val="22"/>
        </w:rPr>
        <w:t xml:space="preserve">The AGI-level executive capabilities targeted by the Prefrontal Agent tier bring the system within scope of existing AI safety frameworks. The top-down modulation architecture — while cognitively essential — creates a pathway through which goal misspecification at the executive layer can systematically corrupt all lower-tier operations. Robust goal specification, value alignment validation, and interpretability monitoring of the TFPF connectivity signatures are non-negotiable safety requirements.</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9. Summary</w:t>
      </w:r>
    </w:p>
    <w:p>
      <w:pPr>
        <w:spacing w:before="80" w:after="120"/>
        <w:jc w:val="both"/>
      </w:pPr>
      <w:r>
        <w:rPr>
          <w:rFonts w:ascii="Arial" w:cs="Arial" w:eastAsia="Arial" w:hAnsi="Arial"/>
          <w:b w:val="false"/>
          <w:bCs w:val="false"/>
          <w:i w:val="false"/>
          <w:iCs w:val="false"/>
          <w:color w:val="1B2A4A"/>
          <w:sz w:val="22"/>
          <w:szCs w:val="22"/>
        </w:rPr>
        <w:t xml:space="preserve">MACNN-RLS synthesizes three distinct bodies of scientific work into a single, coherent cognitive architecture. The brain-to-AI hierarchy provides the structural scaffold. The 3D-CNN-GAN and TFPF framework provide the feature encoding and augmentation substrate. The cybernetic tradition — operationalized through the Passive Motion Paradigm, self-organizing TRNs, and the circular reaction strategy — provides the learning and control dynamics that transform a collection of specialized agents into a genuinely adaptive, embodied intelligence.</w:t>
      </w:r>
    </w:p>
    <w:p>
      <w:pPr>
        <w:spacing w:before="80" w:after="120"/>
        <w:jc w:val="both"/>
      </w:pPr>
      <w:r>
        <w:rPr>
          <w:rFonts w:ascii="Arial" w:cs="Arial" w:eastAsia="Arial" w:hAnsi="Arial"/>
          <w:b w:val="false"/>
          <w:bCs w:val="false"/>
          <w:i w:val="false"/>
          <w:iCs w:val="false"/>
          <w:color w:val="1B2A4A"/>
          <w:sz w:val="22"/>
          <w:szCs w:val="22"/>
        </w:rPr>
        <w:t xml:space="preserve">The architecture's central claim is that the apparent conflict between symbolic and connectionist AI, between feedforward and recurrent processing, between supervised and unsupervised learning, and between embodied and disembodied cognition, dissolves when the system is grounded in the cybernetic insight that control, communication, and cognition are aspects of a single phenomenon: the purposive agent's continuous negotiation with its environment across multiple time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MACNN-RLS does not simulate intelligence. It implements the conditions under which intelligence emerges: closed-loop feedback, anticipatory modeling, self-generated experience, and goal-directed action in a world that talks back.</w:t>
            </w:r>
          </w:p>
        </w:tc>
      </w:tr>
    </w:tbl>
    <w:p>
      <w:pPr>
        <w:spacing w:before="0" w:after="0"/>
      </w:pPr>
      <w:r>
        <w:t xml:space="preserve"/>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References and Source Literature</w:t>
      </w:r>
    </w:p>
    <w:p>
      <w:pPr>
        <w:spacing w:before="80" w:after="120"/>
        <w:jc w:val="both"/>
      </w:pPr>
      <w:r>
        <w:rPr>
          <w:rFonts w:ascii="Arial" w:cs="Arial" w:eastAsia="Arial" w:hAnsi="Arial"/>
          <w:b w:val="false"/>
          <w:bCs w:val="false"/>
          <w:i w:val="false"/>
          <w:iCs w:val="false"/>
          <w:color w:val="1B2A4A"/>
          <w:sz w:val="22"/>
          <w:szCs w:val="22"/>
        </w:rPr>
        <w:t xml:space="preserve">The following foundational works directly inform the MACNN-RLS architecture:</w:t>
      </w:r>
    </w:p>
    <w:p>
      <w:pPr>
        <w:pStyle w:val="ListParagraph"/>
        <w:numPr>
          <w:ilvl w:val="0"/>
          <w:numId w:val="2"/>
        </w:numPr>
        <w:spacing w:before="60" w:after="60"/>
      </w:pPr>
      <w:r>
        <w:rPr>
          <w:rFonts w:ascii="Arial" w:cs="Arial" w:eastAsia="Arial" w:hAnsi="Arial"/>
          <w:color w:val="1B2A4A"/>
          <w:sz w:val="22"/>
          <w:szCs w:val="22"/>
        </w:rPr>
        <w:t xml:space="preserve">Wiener, N. Cybernetics: Or Control and Communication in the Animal and the Machine. MIT Press, 1948.</w:t>
      </w:r>
    </w:p>
    <w:p>
      <w:pPr>
        <w:pStyle w:val="ListParagraph"/>
        <w:numPr>
          <w:ilvl w:val="0"/>
          <w:numId w:val="2"/>
        </w:numPr>
        <w:spacing w:before="60" w:after="60"/>
      </w:pPr>
      <w:r>
        <w:rPr>
          <w:rFonts w:ascii="Arial" w:cs="Arial" w:eastAsia="Arial" w:hAnsi="Arial"/>
          <w:color w:val="1B2A4A"/>
          <w:sz w:val="22"/>
          <w:szCs w:val="22"/>
        </w:rPr>
        <w:t xml:space="preserve">Maturana, H.R., &amp; Varela, F.J. The Tree of Knowledge: The Biological Roots of Human Understanding. Shambhala, 1987.</w:t>
      </w:r>
    </w:p>
    <w:p>
      <w:pPr>
        <w:pStyle w:val="ListParagraph"/>
        <w:numPr>
          <w:ilvl w:val="0"/>
          <w:numId w:val="2"/>
        </w:numPr>
        <w:spacing w:before="60" w:after="60"/>
      </w:pPr>
      <w:r>
        <w:rPr>
          <w:rFonts w:ascii="Arial" w:cs="Arial" w:eastAsia="Arial" w:hAnsi="Arial"/>
          <w:color w:val="1B2A4A"/>
          <w:sz w:val="22"/>
          <w:szCs w:val="22"/>
        </w:rPr>
        <w:t xml:space="preserve">Bernstein, N.A. The Coordination and Regulation of Movements. Pergamon Press, 1967.</w:t>
      </w:r>
    </w:p>
    <w:p>
      <w:pPr>
        <w:pStyle w:val="ListParagraph"/>
        <w:numPr>
          <w:ilvl w:val="0"/>
          <w:numId w:val="2"/>
        </w:numPr>
        <w:spacing w:before="60" w:after="60"/>
      </w:pPr>
      <w:r>
        <w:rPr>
          <w:rFonts w:ascii="Arial" w:cs="Arial" w:eastAsia="Arial" w:hAnsi="Arial"/>
          <w:color w:val="1B2A4A"/>
          <w:sz w:val="22"/>
          <w:szCs w:val="22"/>
        </w:rPr>
        <w:t xml:space="preserve">Piaget, J. The Origins of Intelligence in Children. International Universities Press, 1952.</w:t>
      </w:r>
    </w:p>
    <w:p>
      <w:pPr>
        <w:pStyle w:val="ListParagraph"/>
        <w:numPr>
          <w:ilvl w:val="0"/>
          <w:numId w:val="2"/>
        </w:numPr>
        <w:spacing w:before="60" w:after="60"/>
      </w:pPr>
      <w:r>
        <w:rPr>
          <w:rFonts w:ascii="Arial" w:cs="Arial" w:eastAsia="Arial" w:hAnsi="Arial"/>
          <w:color w:val="1B2A4A"/>
          <w:sz w:val="22"/>
          <w:szCs w:val="22"/>
        </w:rPr>
        <w:t xml:space="preserve">Morasso, P. A vexing question in motor control: the degrees of freedom problem. Frontiers in Bioengineering and Biotechnology, 9:783501, 2022.</w:t>
      </w:r>
    </w:p>
    <w:p>
      <w:pPr>
        <w:pStyle w:val="ListParagraph"/>
        <w:numPr>
          <w:ilvl w:val="0"/>
          <w:numId w:val="2"/>
        </w:numPr>
        <w:spacing w:before="60" w:after="60"/>
      </w:pPr>
      <w:r>
        <w:rPr>
          <w:rFonts w:ascii="Arial" w:cs="Arial" w:eastAsia="Arial" w:hAnsi="Arial"/>
          <w:color w:val="1B2A4A"/>
          <w:sz w:val="22"/>
          <w:szCs w:val="22"/>
        </w:rPr>
        <w:t xml:space="preserve">Fan, C., Yang, B., Li, X., Gao, S., &amp; Zan, P. Feature Classification Combining 3D-Convolutional Neural Networks with Generative Adversarial Networks for Motor Imagery. 2024.</w:t>
      </w:r>
    </w:p>
    <w:p>
      <w:pPr>
        <w:pStyle w:val="ListParagraph"/>
        <w:numPr>
          <w:ilvl w:val="0"/>
          <w:numId w:val="2"/>
        </w:numPr>
        <w:spacing w:before="60" w:after="60"/>
      </w:pPr>
      <w:r>
        <w:rPr>
          <w:rFonts w:ascii="Arial" w:cs="Arial" w:eastAsia="Arial" w:hAnsi="Arial"/>
          <w:color w:val="1B2A4A"/>
          <w:sz w:val="22"/>
          <w:szCs w:val="22"/>
        </w:rPr>
        <w:t xml:space="preserve">Hopfield, J.J. Neural networks and physical systems with emergent collective computational abilities. PNAS, 79(8), 2554–2558, 1982.</w:t>
      </w:r>
    </w:p>
    <w:p>
      <w:pPr>
        <w:pStyle w:val="ListParagraph"/>
        <w:numPr>
          <w:ilvl w:val="0"/>
          <w:numId w:val="2"/>
        </w:numPr>
        <w:spacing w:before="60" w:after="60"/>
      </w:pPr>
      <w:r>
        <w:rPr>
          <w:rFonts w:ascii="Arial" w:cs="Arial" w:eastAsia="Arial" w:hAnsi="Arial"/>
          <w:color w:val="1B2A4A"/>
          <w:sz w:val="22"/>
          <w:szCs w:val="22"/>
        </w:rPr>
        <w:t xml:space="preserve">Kohonen, T. Self-Organizing Maps. Springer, 1995.</w:t>
      </w:r>
    </w:p>
    <w:p>
      <w:pPr>
        <w:pStyle w:val="ListParagraph"/>
        <w:numPr>
          <w:ilvl w:val="0"/>
          <w:numId w:val="2"/>
        </w:numPr>
        <w:spacing w:before="60" w:after="60"/>
      </w:pPr>
      <w:r>
        <w:rPr>
          <w:rFonts w:ascii="Arial" w:cs="Arial" w:eastAsia="Arial" w:hAnsi="Arial"/>
          <w:color w:val="1B2A4A"/>
          <w:sz w:val="22"/>
          <w:szCs w:val="22"/>
        </w:rPr>
        <w:t xml:space="preserve">Goodfellow, I. et al. Generative Adversarial Networks. NeurIPS, 2014.</w:t>
      </w:r>
    </w:p>
    <w:p>
      <w:pPr>
        <w:pStyle w:val="ListParagraph"/>
        <w:numPr>
          <w:ilvl w:val="0"/>
          <w:numId w:val="2"/>
        </w:numPr>
        <w:spacing w:before="60" w:after="60"/>
      </w:pPr>
      <w:r>
        <w:rPr>
          <w:rFonts w:ascii="Arial" w:cs="Arial" w:eastAsia="Arial" w:hAnsi="Arial"/>
          <w:color w:val="1B2A4A"/>
          <w:sz w:val="22"/>
          <w:szCs w:val="22"/>
        </w:rPr>
        <w:t xml:space="preserve">MacLean, P.D. The Triune Brain in Evolution. Plenum, 1990.</w:t>
      </w:r>
    </w:p>
    <w:p>
      <w:pPr>
        <w:pStyle w:val="ListParagraph"/>
        <w:numPr>
          <w:ilvl w:val="0"/>
          <w:numId w:val="2"/>
        </w:numPr>
        <w:spacing w:before="60" w:after="60"/>
      </w:pPr>
      <w:r>
        <w:rPr>
          <w:rFonts w:ascii="Arial" w:cs="Arial" w:eastAsia="Arial" w:hAnsi="Arial"/>
          <w:color w:val="1B2A4A"/>
          <w:sz w:val="22"/>
          <w:szCs w:val="22"/>
        </w:rPr>
        <w:t xml:space="preserve">Schirrmeister, R.T. et al. Deep learning with convolutional neural networks for EEG decoding and visualization. Human Brain Mapping, 38(11), 2017.</w:t>
      </w:r>
    </w:p>
    <w:p>
      <w:pPr>
        <w:pStyle w:val="ListParagraph"/>
        <w:numPr>
          <w:ilvl w:val="0"/>
          <w:numId w:val="2"/>
        </w:numPr>
        <w:spacing w:before="60" w:after="60"/>
      </w:pPr>
      <w:r>
        <w:rPr>
          <w:rFonts w:ascii="Arial" w:cs="Arial" w:eastAsia="Arial" w:hAnsi="Arial"/>
          <w:color w:val="1B2A4A"/>
          <w:sz w:val="22"/>
          <w:szCs w:val="22"/>
        </w:rPr>
        <w:t xml:space="preserve">Friston, K. The free-energy principle: a unified brain theory? Nature Reviews Neuroscience, 11(2), 127–138, 2010.</w:t>
      </w:r>
    </w:p>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4D8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2026-02-21T23:25:47.416Z</dcterms:created>
  <dcterms:modified xsi:type="dcterms:W3CDTF">2026-02-21T23:25:47.417Z</dcterms:modified>
</cp:coreProperties>
</file>

<file path=docProps/custom.xml><?xml version="1.0" encoding="utf-8"?>
<Properties xmlns="http://schemas.openxmlformats.org/officeDocument/2006/custom-properties" xmlns:vt="http://schemas.openxmlformats.org/officeDocument/2006/docPropsVTypes"/>
</file>