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color w:val="1B2A4A"/>
          <w:sz w:val="80"/>
          <w:szCs w:val="80"/>
        </w:rPr>
        <w:t xml:space="preserve">MACNN-RLS  v2.0</w:t>
      </w:r>
    </w:p>
    <w:p>
      <w:pPr>
        <w:spacing w:before="0" w:after="40"/>
        <w:jc w:val="center"/>
      </w:pPr>
      <w:r>
        <w:rPr>
          <w:rFonts w:ascii="Arial" w:cs="Arial" w:eastAsia="Arial" w:hAnsi="Arial"/>
          <w:b/>
          <w:bCs/>
          <w:color w:val="1E4D8C"/>
          <w:sz w:val="42"/>
          <w:szCs w:val="42"/>
        </w:rPr>
        <w:t xml:space="preserve">Multi-Agent Cognitive Neural Network</w:t>
      </w:r>
    </w:p>
    <w:p>
      <w:pPr>
        <w:spacing w:before="0" w:after="200"/>
        <w:jc w:val="center"/>
      </w:pPr>
      <w:r>
        <w:rPr>
          <w:rFonts w:ascii="Arial" w:cs="Arial" w:eastAsia="Arial" w:hAnsi="Arial"/>
          <w:b/>
          <w:bCs/>
          <w:color w:val="1E4D8C"/>
          <w:sz w:val="36"/>
          <w:szCs w:val="36"/>
        </w:rPr>
        <w:t xml:space="preserve">Reasoning · Learning · Problem-Solving</w:t>
      </w:r>
    </w:p>
    <w:p>
      <w:pPr>
        <w:pBdr>
          <w:bottom w:val="single" w:color="C9A84C" w:sz="8"/>
        </w:pBdr>
        <w:spacing w:before="0" w:after="200"/>
        <w:jc w:val="center"/>
      </w:pPr>
      <w:r>
        <w:t xml:space="preserve"/>
      </w:r>
    </w:p>
    <w:p>
      <w:pPr>
        <w:spacing w:before="0" w:after="40"/>
        <w:jc w:val="center"/>
      </w:pPr>
      <w:r>
        <w:rPr>
          <w:rFonts w:ascii="Arial" w:cs="Arial" w:eastAsia="Arial" w:hAnsi="Arial"/>
          <w:i/>
          <w:iCs/>
          <w:color w:val="4A5568"/>
          <w:sz w:val="24"/>
          <w:szCs w:val="24"/>
        </w:rPr>
        <w:t xml:space="preserve">Integrating Cybernetics · Embodied Cognition · Passive Motion Paradigm</w:t>
      </w:r>
    </w:p>
    <w:p>
      <w:pPr>
        <w:spacing w:before="0" w:after="40"/>
        <w:jc w:val="center"/>
      </w:pPr>
      <w:r>
        <w:rPr>
          <w:rFonts w:ascii="Arial" w:cs="Arial" w:eastAsia="Arial" w:hAnsi="Arial"/>
          <w:i/>
          <w:iCs/>
          <w:color w:val="4A5568"/>
          <w:sz w:val="24"/>
          <w:szCs w:val="24"/>
        </w:rPr>
        <w:t xml:space="preserve">3D-CNN-GAN · Topology Representing Networks · Neuromorphic &amp; Quantum Computing</w:t>
      </w:r>
    </w:p>
    <w:p>
      <w:pPr>
        <w:spacing w:before="0" w:after="360"/>
        <w:jc w:val="center"/>
      </w:pPr>
      <w:r>
        <w:rPr>
          <w:rFonts w:ascii="Arial" w:cs="Arial" w:eastAsia="Arial" w:hAnsi="Arial"/>
          <w:i/>
          <w:iCs/>
          <w:color w:val="4A5568"/>
          <w:sz w:val="24"/>
          <w:szCs w:val="24"/>
        </w:rPr>
        <w:t xml:space="preserve">Active Inference · Intermittent Control · LLM Cognitive Architecture</w:t>
      </w:r>
    </w:p>
    <w:p>
      <w:pPr>
        <w:spacing w:before="0" w:after="0"/>
      </w:pPr>
      <w:r>
        <w:t xml:space="preserve"/>
      </w:r>
    </w:p>
    <w:p>
      <w:pPr>
        <w:spacing w:before="0" w:after="0"/>
      </w:pPr>
      <w:r>
        <w:t xml:space="preserve"/>
      </w:r>
    </w:p>
    <w:p>
      <w:pPr>
        <w:spacing w:before="0" w:after="0"/>
        <w:jc w:val="center"/>
      </w:pPr>
      <w:r>
        <w:rPr>
          <w:rFonts w:ascii="Arial" w:cs="Arial" w:eastAsia="Arial" w:hAnsi="Arial"/>
          <w:color w:val="718096"/>
          <w:sz w:val="20"/>
          <w:szCs w:val="20"/>
        </w:rPr>
        <w:t xml:space="preserve">Complete System Specification  ·  Version 2.0  ·  Advanced Research Document</w:t>
      </w:r>
    </w:p>
    <w:p>
      <w:r>
        <w:br w:type="page"/>
      </w:r>
    </w:p>
    <w:p>
      <w:pPr>
        <w:pStyle w:val="Heading1"/>
        <w:pBdr>
          <w:bottom w:val="single" w:color="2E75B6" w:sz="6" w:space="1"/>
        </w:pBdr>
        <w:spacing w:before="360" w:after="180"/>
      </w:pPr>
      <w:r>
        <w:rPr>
          <w:rFonts w:ascii="Arial" w:cs="Arial" w:eastAsia="Arial" w:hAnsi="Arial"/>
          <w:b/>
          <w:bCs/>
          <w:color w:val="1B2A4A"/>
          <w:sz w:val="32"/>
          <w:szCs w:val="32"/>
        </w:rPr>
        <w:t xml:space="preserve">Preface: Scope and Synthesis</w:t>
      </w:r>
    </w:p>
    <w:p>
      <w:pPr>
        <w:spacing w:before="80" w:after="120"/>
        <w:jc w:val="both"/>
      </w:pPr>
      <w:r>
        <w:rPr>
          <w:rFonts w:ascii="Arial" w:cs="Arial" w:eastAsia="Arial" w:hAnsi="Arial"/>
          <w:b w:val="false"/>
          <w:bCs w:val="false"/>
          <w:i w:val="false"/>
          <w:iCs w:val="false"/>
          <w:color w:val="1B2A4A"/>
          <w:sz w:val="22"/>
          <w:szCs w:val="22"/>
        </w:rPr>
        <w:t xml:space="preserve">MACNN-RLS Version 2.0 is the complete project specification for a Multi-Agent Cognitive Neural Network architecture designed for institutional-grade reasoning, learning, and problem-solving. This document synthesizes five bodies of scientific work into a single operational design:</w:t>
      </w:r>
    </w:p>
    <w:p>
      <w:pPr>
        <w:pStyle w:val="ListParagraph"/>
        <w:numPr>
          <w:ilvl w:val="0"/>
          <w:numId w:val="2"/>
        </w:numPr>
        <w:spacing w:before="60" w:after="60"/>
      </w:pPr>
      <w:r>
        <w:rPr>
          <w:rFonts w:ascii="Arial" w:cs="Arial" w:eastAsia="Arial" w:hAnsi="Arial"/>
          <w:color w:val="1B2A4A"/>
          <w:sz w:val="22"/>
          <w:szCs w:val="22"/>
        </w:rPr>
        <w:t xml:space="preserve">The brain-to-AI hierarchical mapping from brainstem through prefrontal cortex</w:t>
      </w:r>
    </w:p>
    <w:p>
      <w:pPr>
        <w:pStyle w:val="ListParagraph"/>
        <w:numPr>
          <w:ilvl w:val="0"/>
          <w:numId w:val="2"/>
        </w:numPr>
        <w:spacing w:before="60" w:after="60"/>
      </w:pPr>
      <w:r>
        <w:rPr>
          <w:rFonts w:ascii="Arial" w:cs="Arial" w:eastAsia="Arial" w:hAnsi="Arial"/>
          <w:color w:val="1B2A4A"/>
          <w:sz w:val="22"/>
          <w:szCs w:val="22"/>
        </w:rPr>
        <w:t xml:space="preserve">The 3D-CNN-GAN motor imagery decoding architecture with TFPF feature construction</w:t>
      </w:r>
    </w:p>
    <w:p>
      <w:pPr>
        <w:pStyle w:val="ListParagraph"/>
        <w:numPr>
          <w:ilvl w:val="0"/>
          <w:numId w:val="2"/>
        </w:numPr>
        <w:spacing w:before="60" w:after="60"/>
      </w:pPr>
      <w:r>
        <w:rPr>
          <w:rFonts w:ascii="Arial" w:cs="Arial" w:eastAsia="Arial" w:hAnsi="Arial"/>
          <w:color w:val="1B2A4A"/>
          <w:sz w:val="22"/>
          <w:szCs w:val="22"/>
        </w:rPr>
        <w:t xml:space="preserve">Wiener's cybernetics, Bernstein's purposive action theory, and the Passive Motion Paradigm with self-organizing Topology Representing Networks</w:t>
      </w:r>
    </w:p>
    <w:p>
      <w:pPr>
        <w:pStyle w:val="ListParagraph"/>
        <w:numPr>
          <w:ilvl w:val="0"/>
          <w:numId w:val="2"/>
        </w:numPr>
        <w:spacing w:before="60" w:after="60"/>
      </w:pPr>
      <w:r>
        <w:rPr>
          <w:rFonts w:ascii="Arial" w:cs="Arial" w:eastAsia="Arial" w:hAnsi="Arial"/>
          <w:color w:val="1B2A4A"/>
          <w:sz w:val="22"/>
          <w:szCs w:val="22"/>
        </w:rPr>
        <w:t xml:space="preserve">Neuromorphic and quantum computing as the deployment substrate, including the intermittent control paradigm and active inference equivalence</w:t>
      </w:r>
    </w:p>
    <w:p>
      <w:pPr>
        <w:pStyle w:val="ListParagraph"/>
        <w:numPr>
          <w:ilvl w:val="0"/>
          <w:numId w:val="2"/>
        </w:numPr>
        <w:spacing w:before="60" w:after="60"/>
      </w:pPr>
      <w:r>
        <w:rPr>
          <w:rFonts w:ascii="Arial" w:cs="Arial" w:eastAsia="Arial" w:hAnsi="Arial"/>
          <w:color w:val="1B2A4A"/>
          <w:sz w:val="22"/>
          <w:szCs w:val="22"/>
        </w:rPr>
        <w:t xml:space="preserve">The LLM cognitive interaction layer — how large language models reshape human attention, memory, and decision-making, and how MACNN-RLS must account for this in human-AI collaborative contexts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Version 2.0 extension: The original v1.0 specification added Tier 1–4 agents grounded in neural field dynamics. Version 2.0 adds: (1) the Quantum-Neuromorphic Substrate Layer; (2) the Intermittent Control Module; (3) the Active Inference Equivalence Proof; and (4) the LLM Cognitive Interface — addressing how the system interacts with and compensates for AI-induced cognitive offloading in human partners.</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I: Theoretical Foundations</w:t>
      </w:r>
    </w:p>
    <w:p>
      <w:pPr>
        <w:pStyle w:val="Heading2"/>
        <w:spacing w:before="280" w:after="140"/>
      </w:pPr>
      <w:r>
        <w:rPr>
          <w:rFonts w:ascii="Arial" w:cs="Arial" w:eastAsia="Arial" w:hAnsi="Arial"/>
          <w:b/>
          <w:bCs/>
          <w:color w:val="1E4D8C"/>
          <w:sz w:val="26"/>
          <w:szCs w:val="26"/>
        </w:rPr>
        <w:t xml:space="preserve">1.1  The Four-Tier Brain-to-AI Hierarchy</w:t>
      </w:r>
    </w:p>
    <w:p>
      <w:pPr>
        <w:spacing w:before="80" w:after="120"/>
        <w:jc w:val="both"/>
      </w:pPr>
      <w:r>
        <w:rPr>
          <w:rFonts w:ascii="Arial" w:cs="Arial" w:eastAsia="Arial" w:hAnsi="Arial"/>
          <w:b w:val="false"/>
          <w:bCs w:val="false"/>
          <w:i w:val="false"/>
          <w:iCs w:val="false"/>
          <w:color w:val="1B2A4A"/>
          <w:sz w:val="22"/>
          <w:szCs w:val="22"/>
        </w:rPr>
        <w:t xml:space="preserve">The structural scaffold of MACNN-RLS is a four-tier isomorphism between brain regions and AI paradigms. This is not metaphor but architecture: each tier's computational properties are directly inherited from the neural substrate it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Brain Region</w:t>
            </w:r>
          </w:p>
        </w:tc>
        <w:tc>
          <w:tcPr>
            <w:tcW w:type="dxa" w:w="2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AI Paradigm</w:t>
            </w:r>
          </w:p>
        </w:tc>
        <w:tc>
          <w:tcPr>
            <w:tcW w:type="dxa" w:w="48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Functional Role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Brainstem / Sensory Cortices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Generic AI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Pattern recognition, sensory preprocessing, raw input encoding, autonomic state monitoring</w:t>
            </w:r>
          </w:p>
        </w:tc>
      </w:tr>
      <w:tr>
        <w:tc>
          <w:tcPr>
            <w:tcW w:type="dxa" w:w="25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Basal Ganglia / Thalamus</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Machine Learning</w:t>
            </w:r>
          </w:p>
        </w:tc>
        <w:tc>
          <w:tcPr>
            <w:tcW w:type="dxa" w:w="48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Adaptive decision-making, reward integration, sensory gating, habit compilation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Limbic / Hippocampus / Cingulate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Deep Learning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TFPF feature encoding, episodic memory, conflict monitoring, GAN augmentation</w:t>
            </w:r>
          </w:p>
        </w:tc>
      </w:tr>
      <w:tr>
        <w:tc>
          <w:tcPr>
            <w:tcW w:type="dxa" w:w="25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Prefrontal Cortex (mPFC)</w:t>
            </w:r>
          </w:p>
        </w:tc>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AGI-Level Executive</w:t>
            </w:r>
          </w:p>
        </w:tc>
        <w:tc>
          <w:tcPr>
            <w:tcW w:type="dxa" w:w="48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Goal maintenance, PMP synergy formation, counterfactual simulation, top-down modulation</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1.2  Cybernetics, Enactivism, and the Closed Loop</w:t>
      </w:r>
    </w:p>
    <w:p>
      <w:pPr>
        <w:spacing w:before="80" w:after="120"/>
        <w:jc w:val="both"/>
      </w:pPr>
      <w:r>
        <w:rPr>
          <w:rFonts w:ascii="Arial" w:cs="Arial" w:eastAsia="Arial" w:hAnsi="Arial"/>
          <w:b w:val="false"/>
          <w:bCs w:val="false"/>
          <w:i w:val="false"/>
          <w:iCs w:val="false"/>
          <w:color w:val="1B2A4A"/>
          <w:sz w:val="22"/>
          <w:szCs w:val="22"/>
        </w:rPr>
        <w:t xml:space="preserve">Wiener's core insight — that control and communication are inseparable, that the message is the fundamental unit regardless of medium — mandates that MACNN-RLS treat all inter-agent communication as message-passing within a closed feedback loop, never as a one-directional pipeline. The system influences its environment and the environment influences the system; analyzing either in isolation destroys the explanatory structure.</w:t>
      </w:r>
    </w:p>
    <w:p>
      <w:pPr>
        <w:spacing w:before="80" w:after="120"/>
        <w:jc w:val="both"/>
      </w:pPr>
      <w:r>
        <w:rPr>
          <w:rFonts w:ascii="Arial" w:cs="Arial" w:eastAsia="Arial" w:hAnsi="Arial"/>
          <w:b w:val="false"/>
          <w:bCs w:val="false"/>
          <w:i w:val="false"/>
          <w:iCs w:val="false"/>
          <w:color w:val="1B2A4A"/>
          <w:sz w:val="22"/>
          <w:szCs w:val="22"/>
        </w:rPr>
        <w:t xml:space="preserve">Maturana and Varela's Enactivism operationalizes this: cognition is not the processing of a pre-given world but the co-constitution of a world through agent-environment coupling. Every agent therefore maintains a generative model continuously updated through action and perception, not observation alone. Bernstein extends this with the anticipatory dimension: purposive action is driven not by current state but by the predicted future state — the 'model of the required result' — enabling ante factum correction before errors occur rather than post factum correction after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8E0F5"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The Passive Motion Paradigm resolves the degrees-of-freedom problem not by freezing joints (Bernstein's original proposal, revisited as the Uncontrolled Manifold) but through compliance matrix adaptation — a learned, dynamic solution that reconfigures DoF weighting per task without static constraint.</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1.3  The PMP Dual-Manifold Architecture</w:t>
      </w:r>
    </w:p>
    <w:p>
      <w:pPr>
        <w:spacing w:before="80" w:after="120"/>
        <w:jc w:val="both"/>
      </w:pPr>
      <w:r>
        <w:rPr>
          <w:rFonts w:ascii="Arial" w:cs="Arial" w:eastAsia="Arial" w:hAnsi="Arial"/>
          <w:b w:val="false"/>
          <w:bCs w:val="false"/>
          <w:i w:val="false"/>
          <w:iCs w:val="false"/>
          <w:color w:val="1B2A4A"/>
          <w:sz w:val="22"/>
          <w:szCs w:val="22"/>
        </w:rPr>
        <w:t xml:space="preserve">The Passive Motion Paradigm implements ideomotor synergy formation through two interacting modules. Module A operates in low-dimensional exteroceptive space and generates a force field pointing toward the goal target. Module B operates in high-dimensional proprioceptive space and receives this force field through the transposed Jacobian, producing joint velocities through the compliance matrix. Both modules are synchronized by the non-linear Gamma-command, which provides terminal attractor dynamics: the moving target and the physical end-effector reach the goal simultaneously, with bell-shaped velocity profiles emerging naturally from the gradient descent dynamics.</w:t>
      </w:r>
    </w:p>
    <w:p>
      <w:pPr>
        <w:spacing w:before="80" w:after="120"/>
        <w:jc w:val="both"/>
      </w:pPr>
      <w:r>
        <w:rPr>
          <w:rFonts w:ascii="Arial" w:cs="Arial" w:eastAsia="Arial" w:hAnsi="Arial"/>
          <w:b w:val="false"/>
          <w:bCs w:val="false"/>
          <w:i w:val="false"/>
          <w:iCs w:val="false"/>
          <w:color w:val="1B2A4A"/>
          <w:sz w:val="22"/>
          <w:szCs w:val="22"/>
        </w:rPr>
        <w:t xml:space="preserve">The critical mathematical property: the Jacobian J is not invertible in the direction from exteroceptive to proprioceptive space (the ill-posed inverse kinematics problem), but its transpose J^T maps exteroceptive forces to proprioceptive torques in a well-posed manner. By separating the computation into two opposing-direction streams across two different domains, the redundancy problem regularizes itself without explicit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4EDDA"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The force field additivity property provides natural composition of complex gestures from motor primitives. Multi-goal coordination reduces to superposition of force fields, each pointing to a sub-goal. Complex orchestration emerges from local interactions — the same principle as global potential energy minimization in the Equilibrium Point Hypothesis.</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1.4  Neural Field Implementation via TRNs</w:t>
      </w:r>
    </w:p>
    <w:p>
      <w:pPr>
        <w:spacing w:before="80" w:after="120"/>
        <w:jc w:val="both"/>
      </w:pPr>
      <w:r>
        <w:rPr>
          <w:rFonts w:ascii="Arial" w:cs="Arial" w:eastAsia="Arial" w:hAnsi="Arial"/>
          <w:b w:val="false"/>
          <w:bCs w:val="false"/>
          <w:i w:val="false"/>
          <w:iCs w:val="false"/>
          <w:color w:val="1B2A4A"/>
          <w:sz w:val="22"/>
          <w:szCs w:val="22"/>
        </w:rPr>
        <w:t xml:space="preserve">The PMP's lumped ODE formulation is biologically implausible as a direct implementation. The distributed neural field formulation replaces it with two interacting Topology Representing Networks trained by competitive Hebbian learning. Each PE in a TRN is characterized by a prototype vector (its receptive field center), lateral intra-connections to neighboring PEs, and bidirectional inter-connections to the corresponding TRN in the partner manifold.</w:t>
      </w:r>
    </w:p>
    <w:p>
      <w:pPr>
        <w:spacing w:before="80" w:after="120"/>
        <w:jc w:val="both"/>
      </w:pPr>
      <w:r>
        <w:rPr>
          <w:rFonts w:ascii="Arial" w:cs="Arial" w:eastAsia="Arial" w:hAnsi="Arial"/>
          <w:b w:val="false"/>
          <w:bCs w:val="false"/>
          <w:i w:val="false"/>
          <w:iCs w:val="false"/>
          <w:color w:val="1B2A4A"/>
          <w:sz w:val="22"/>
          <w:szCs w:val="22"/>
        </w:rPr>
        <w:t xml:space="preserve">The neural dynamics of a single field implement the same gradient descent as Module A of the PMP: a sudden target shift causes an initial spreading of activation throughout the map (flattening the population code), followed by progressive re-sharpening around the target. The result is a propagation of the population code following a geodesic in the manifold, with a bell-shaped velocity profile identical to that of the lumped model — but emerging from local PE interactions rather than explicit ODE integration.</w:t>
      </w:r>
    </w:p>
    <w:p>
      <w:pPr>
        <w:spacing w:before="80" w:after="120"/>
        <w:jc w:val="both"/>
      </w:pPr>
      <w:r>
        <w:rPr>
          <w:rFonts w:ascii="Arial" w:cs="Arial" w:eastAsia="Arial" w:hAnsi="Arial"/>
          <w:b w:val="false"/>
          <w:bCs w:val="false"/>
          <w:i w:val="false"/>
          <w:iCs w:val="false"/>
          <w:color w:val="1B2A4A"/>
          <w:sz w:val="22"/>
          <w:szCs w:val="22"/>
        </w:rPr>
        <w:t xml:space="preserve">The kissing-number principle provides a geometry-based learning completion criterion: after competitive Hebbian training on a 3D manifold, interior PEs should exhibit approximately 12 lateral connections (K=12 for 3D dense sphere packing). This unsupervised, label-free convergence metric replaces validation-loss monitoring — the system certifies its own learning completion through geometric self-assessment.</w:t>
      </w:r>
    </w:p>
    <w:p>
      <w:pPr>
        <w:pStyle w:val="Heading2"/>
        <w:spacing w:before="280" w:after="140"/>
      </w:pPr>
      <w:r>
        <w:rPr>
          <w:rFonts w:ascii="Arial" w:cs="Arial" w:eastAsia="Arial" w:hAnsi="Arial"/>
          <w:b/>
          <w:bCs/>
          <w:color w:val="1E4D8C"/>
          <w:sz w:val="26"/>
          <w:szCs w:val="26"/>
        </w:rPr>
        <w:t xml:space="preserve">1.5  GAN-Augmented TFPF Feature Space</w:t>
      </w:r>
    </w:p>
    <w:p>
      <w:pPr>
        <w:spacing w:before="80" w:after="120"/>
        <w:jc w:val="both"/>
      </w:pPr>
      <w:r>
        <w:rPr>
          <w:rFonts w:ascii="Arial" w:cs="Arial" w:eastAsia="Arial" w:hAnsi="Arial"/>
          <w:b w:val="false"/>
          <w:bCs w:val="false"/>
          <w:i w:val="false"/>
          <w:iCs w:val="false"/>
          <w:color w:val="1B2A4A"/>
          <w:sz w:val="22"/>
          <w:szCs w:val="22"/>
        </w:rPr>
        <w:t xml:space="preserve">The Temporal-Frequency-Phase Feature representation encodes brain (or any multivariate time-series) connectivity as a unified 3D voxel combining three complementary metrics. Pearson Correlation Coefficient captures linear amplitude covariation. Coherence captures frequency-specific synchronization. Phase Locking Value captures phase synchronization independent of amplitude. Together they provide a complete picture of connectivity that no single metric can offer.</w:t>
      </w:r>
    </w:p>
    <w:p>
      <w:pPr>
        <w:spacing w:before="80" w:after="120"/>
        <w:jc w:val="both"/>
      </w:pPr>
      <w:r>
        <w:rPr>
          <w:rFonts w:ascii="Arial" w:cs="Arial" w:eastAsia="Arial" w:hAnsi="Arial"/>
          <w:b w:val="false"/>
          <w:bCs w:val="false"/>
          <w:i w:val="false"/>
          <w:iCs w:val="false"/>
          <w:color w:val="1B2A4A"/>
          <w:sz w:val="22"/>
          <w:szCs w:val="22"/>
        </w:rPr>
        <w:t xml:space="preserve">The GAN augmentation role is dual. First, it expands limited training sets by learning and reproducing the connectivity distribution. Second — the deeper contribution — GAN-generated 'fake connectivity' systematically exhibits stronger triangular and circular topological structures than real data. The generator amplifies the most discriminative motifs, implementing a form of constructive imagination: the system generates 'more discriminative' versions of experience, analogous to the limbic system's role in emotional memory consolidation and schema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960"/>
        <w:gridCol w:w="1600"/>
      </w:tblGrid>
      <w:tr>
        <w:trPr>
          <w:tblHeader/>
        </w:trPr>
        <w:tc>
          <w:tcPr>
            <w:tcW w:type="dxa" w:w="2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Feature</w:t>
            </w:r>
          </w:p>
        </w:tc>
        <w:tc>
          <w:tcPr>
            <w:tcW w:type="dxa" w:w="16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Domain</w:t>
            </w:r>
          </w:p>
        </w:tc>
        <w:tc>
          <w:tcPr>
            <w:tcW w:type="dxa" w:w="39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Captures</w:t>
            </w:r>
          </w:p>
        </w:tc>
        <w:tc>
          <w:tcPr>
            <w:tcW w:type="dxa" w:w="16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PCC (Pearson)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Temporal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Linear amplitude covariation between channel pairs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 to ±1</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COH (Coherence)</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Frequency</w:t>
            </w:r>
          </w:p>
        </w:tc>
        <w:tc>
          <w:tcPr>
            <w:tcW w:type="dxa" w:w="3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Spectral power correlation at specific frequencies</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 to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PLV (Phase Locking)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Phase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Phase synchronization independent of amplitude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0 to 1</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TFPF Voxel</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Unified 3D</w:t>
            </w:r>
          </w:p>
        </w:tc>
        <w:tc>
          <w:tcPr>
            <w:tcW w:type="dxa" w:w="3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Stacked N×N matrices for each metric per time window</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Full tensor</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II: The Quantum-Neuromorphic Substrate</w:t>
      </w:r>
    </w:p>
    <w:p>
      <w:pPr>
        <w:pStyle w:val="Heading2"/>
        <w:spacing w:before="280" w:after="140"/>
      </w:pPr>
      <w:r>
        <w:rPr>
          <w:rFonts w:ascii="Arial" w:cs="Arial" w:eastAsia="Arial" w:hAnsi="Arial"/>
          <w:b/>
          <w:bCs/>
          <w:color w:val="1E4D8C"/>
          <w:sz w:val="26"/>
          <w:szCs w:val="26"/>
        </w:rPr>
        <w:t xml:space="preserve">2.1  The Von Neumann Bottleneck and Neuromorphic Solutions</w:t>
      </w:r>
    </w:p>
    <w:p>
      <w:pPr>
        <w:spacing w:before="80" w:after="120"/>
        <w:jc w:val="both"/>
      </w:pPr>
      <w:r>
        <w:rPr>
          <w:rFonts w:ascii="Arial" w:cs="Arial" w:eastAsia="Arial" w:hAnsi="Arial"/>
          <w:b w:val="false"/>
          <w:bCs w:val="false"/>
          <w:i w:val="false"/>
          <w:iCs w:val="false"/>
          <w:color w:val="1B2A4A"/>
          <w:sz w:val="22"/>
          <w:szCs w:val="22"/>
        </w:rPr>
        <w:t xml:space="preserve">Standard computing separates memory and processing, creating a data-movement bottleneck that scales poorly with neural simulation size. The brain integrates memory and processing at the level of individual neurons, with 100 trillion synapses operating at approximately 20 watts. The most advanced conventional supercomputer (Frontier) requires 22.7 megawatts and 680 square meters to perform one quintillion operations per second — orders of magnitude less efficient per operation than biological neural tissue.</w:t>
      </w:r>
    </w:p>
    <w:p>
      <w:pPr>
        <w:spacing w:before="80" w:after="120"/>
        <w:jc w:val="both"/>
      </w:pPr>
      <w:r>
        <w:rPr>
          <w:rFonts w:ascii="Arial" w:cs="Arial" w:eastAsia="Arial" w:hAnsi="Arial"/>
          <w:b w:val="false"/>
          <w:bCs w:val="false"/>
          <w:i w:val="false"/>
          <w:iCs w:val="false"/>
          <w:color w:val="1B2A4A"/>
          <w:sz w:val="22"/>
          <w:szCs w:val="22"/>
        </w:rPr>
        <w:t xml:space="preserve">Neuromorphic architectures — Stanford's Neurogrid, Intel's Loihi SNN chips, IBM's TrueNorth, Heidelberg's BrainScaleS — address this by using VLSI analog, digital, or mixed-mode circuits that mimic neuro-biological organization. They minimize the memory-processing separation, reducing latency and energy consumption for the specific class of computations that neural simulation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0EDE9" w:val="clear"/>
            <w:tcMar>
              <w:top w:type="dxa" w:w="140"/>
              <w:left w:type="dxa" w:w="200"/>
              <w:bottom w:type="dxa" w:w="140"/>
              <w:right w:type="dxa" w:w="200"/>
            </w:tcMar>
          </w:tcPr>
          <w:p>
            <w:pPr>
              <w:spacing w:before="0" w:after="0"/>
            </w:pPr>
            <w:r>
              <w:rPr>
                <w:rFonts w:ascii="Arial" w:cs="Arial" w:eastAsia="Arial" w:hAnsi="Arial"/>
                <w:b/>
                <w:bCs/>
                <w:color w:val="1B2A4A"/>
                <w:sz w:val="21"/>
                <w:szCs w:val="21"/>
              </w:rPr>
              <w:t xml:space="preserve">MACNN-RLS Deployment Target: </w:t>
            </w:r>
            <w:r>
              <w:rPr>
                <w:rFonts w:ascii="Arial" w:cs="Arial" w:eastAsia="Arial" w:hAnsi="Arial"/>
                <w:i/>
                <w:iCs/>
                <w:color w:val="1B2A4A"/>
                <w:sz w:val="21"/>
                <w:szCs w:val="21"/>
              </w:rPr>
              <w:t xml:space="preserve">Phase 4 of the implementation roadmap targets neuromorphic hardware deployment, replacing continuous TRN activations with asynchronous spike trains compatible with Loihi-class chips. Target energy budget: &lt;100W for the full eight-agent system, achievable by exploiting the spiking neural network variant of the TRN where information is encoded in spike timing rather than continuous activation rates.</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2.2  The Quantum Layer: Evidence, Scope, and Integration</w:t>
      </w:r>
    </w:p>
    <w:p>
      <w:pPr>
        <w:spacing w:before="80" w:after="120"/>
        <w:jc w:val="both"/>
      </w:pPr>
      <w:r>
        <w:rPr>
          <w:rFonts w:ascii="Arial" w:cs="Arial" w:eastAsia="Arial" w:hAnsi="Arial"/>
          <w:b w:val="false"/>
          <w:bCs w:val="false"/>
          <w:i w:val="false"/>
          <w:iCs w:val="false"/>
          <w:color w:val="1B2A4A"/>
          <w:sz w:val="22"/>
          <w:szCs w:val="22"/>
        </w:rPr>
        <w:t xml:space="preserve">The quantum extension of MACNN-RLS addresses a fundamental question: should the analog component of cortical dynamics underlying the measurable digital component of neuronal firing be described by classical or quantum physics? The evidence is currently asymmetric: non-trivial quantum effects have been demonstrated in sensory periphery (rhodopsin quantum waves in retinal photoreceptors, quantum electron tunneling in olfactory receptors, quantum entanglement in cryptochromes for avian magnetoreception, quantum ion channel dynamics) but not yet confirmed in central cognitive functions.</w:t>
      </w:r>
    </w:p>
    <w:p>
      <w:pPr>
        <w:spacing w:before="80" w:after="120"/>
        <w:jc w:val="both"/>
      </w:pPr>
      <w:r>
        <w:rPr>
          <w:rFonts w:ascii="Arial" w:cs="Arial" w:eastAsia="Arial" w:hAnsi="Arial"/>
          <w:b w:val="false"/>
          <w:bCs w:val="false"/>
          <w:i w:val="false"/>
          <w:iCs w:val="false"/>
          <w:color w:val="1B2A4A"/>
          <w:sz w:val="22"/>
          <w:szCs w:val="22"/>
        </w:rPr>
        <w:t xml:space="preserve">The architectural relevance is indirect but important. The brain's non-linear quasi-chaotic dynamics operates near the stability edge with high sensitivity to small perturbations. This sensitivity can amplify local quantum fluctuations to macroscopic scale through multi-scale amplification — a mechanism that does not require quantum computation in the strong sense but does require accounting for quantum-origin stochasticity in the dynamics of neural field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Quantum Effect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Biological Site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Evidence Status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Architectural Implication</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Quantum waves</w:t>
            </w:r>
          </w:p>
        </w:tc>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Retinal rhodopsin</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Confirmed</w:t>
            </w:r>
          </w:p>
        </w:tc>
        <w:tc>
          <w:tcPr>
            <w:tcW w:type="dxa" w:w="31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Sensory preprocessing noise model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Electron tunneling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Olfactory receptors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Confirmed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Feature detection sensitivity margin</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Quantum entanglement</w:t>
            </w:r>
          </w:p>
        </w:tc>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Retinal cryptochromes</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Confirmed</w:t>
            </w:r>
          </w:p>
        </w:tc>
        <w:tc>
          <w:tcPr>
            <w:tcW w:type="dxa" w:w="31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Long-range correlation baseline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Ion channel gating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Neuronal membranes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Theoretical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Spike timing stochasticity model</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Tubulin microtubule QC</w:t>
            </w:r>
          </w:p>
        </w:tc>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Cytoskeleton (Penrose-Hameroff)</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Highly controversial</w:t>
            </w:r>
          </w:p>
        </w:tc>
        <w:tc>
          <w:tcPr>
            <w:tcW w:type="dxa" w:w="31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Not incorporated in v2.0</w:t>
            </w:r>
          </w:p>
        </w:tc>
      </w:tr>
    </w:tbl>
    <w:p>
      <w:pPr>
        <w:spacing w:before="0" w:after="0"/>
      </w:pPr>
      <w:r>
        <w:t xml:space="preserve"/>
      </w:r>
    </w:p>
    <w:p>
      <w:pPr>
        <w:spacing w:before="80" w:after="120"/>
        <w:jc w:val="both"/>
      </w:pPr>
      <w:r>
        <w:rPr>
          <w:rFonts w:ascii="Arial" w:cs="Arial" w:eastAsia="Arial" w:hAnsi="Arial"/>
          <w:b w:val="false"/>
          <w:bCs w:val="false"/>
          <w:i w:val="false"/>
          <w:iCs w:val="false"/>
          <w:color w:val="1B2A4A"/>
          <w:sz w:val="22"/>
          <w:szCs w:val="22"/>
        </w:rPr>
        <w:t xml:space="preserve">The Penrose-Hameroff quantum consciousness hypothesis — based on supposed quantum computation in tubulin microtubules — is explicitly excluded from MACNN-RLS v2.0 given its highly controversial status and the absence of experimental support. The incorporated quantum considerations are limited to well-evidenced peripheral effects and their amplification through non-linear central dynamics.</w:t>
      </w:r>
    </w:p>
    <w:p>
      <w:pPr>
        <w:pStyle w:val="Heading2"/>
        <w:spacing w:before="280" w:after="140"/>
      </w:pPr>
      <w:r>
        <w:rPr>
          <w:rFonts w:ascii="Arial" w:cs="Arial" w:eastAsia="Arial" w:hAnsi="Arial"/>
          <w:b/>
          <w:bCs/>
          <w:color w:val="1E4D8C"/>
          <w:sz w:val="26"/>
          <w:szCs w:val="26"/>
        </w:rPr>
        <w:t xml:space="preserve">2.3  Intermittent Control: Quasi-Chaotic Efficiency</w:t>
      </w:r>
    </w:p>
    <w:p>
      <w:pPr>
        <w:spacing w:before="80" w:after="120"/>
        <w:jc w:val="both"/>
      </w:pPr>
      <w:r>
        <w:rPr>
          <w:rFonts w:ascii="Arial" w:cs="Arial" w:eastAsia="Arial" w:hAnsi="Arial"/>
          <w:b w:val="false"/>
          <w:bCs w:val="false"/>
          <w:i w:val="false"/>
          <w:iCs w:val="false"/>
          <w:color w:val="1B2A4A"/>
          <w:sz w:val="22"/>
          <w:szCs w:val="22"/>
        </w:rPr>
        <w:t xml:space="preserve">The intermittent control paradigm provides the most direct link between quantum-origin stochasticity and macroscopic behavioral efficiency. In tasks requiring stabilization of inherently unstable configurations — the canonical example being upright standing as an inverted pendulum problem — the optimal control strategy is not continuous feedback but periodic opening and closing of the feedback loop based on current state.</w:t>
      </w:r>
    </w:p>
    <w:p>
      <w:pPr>
        <w:spacing w:before="80" w:after="120"/>
        <w:jc w:val="both"/>
      </w:pPr>
      <w:r>
        <w:rPr>
          <w:rFonts w:ascii="Arial" w:cs="Arial" w:eastAsia="Arial" w:hAnsi="Arial"/>
          <w:b w:val="false"/>
          <w:bCs w:val="false"/>
          <w:i w:val="false"/>
          <w:iCs w:val="false"/>
          <w:color w:val="1B2A4A"/>
          <w:sz w:val="22"/>
          <w:szCs w:val="22"/>
        </w:rPr>
        <w:t xml:space="preserve">The result is a quasi-chaotic oscillatory behavior (the familiar postural sway in standing) that provides three simultaneous benefits: energetic efficiency (no muscle energy required during open-loop intervals, approximately 50% of total time); enhanced readiness for sudden phase transitions (the quasi-chaotic dynamics maintains a rich state space from which rapid trajectory changes are accessible); and noise immunity (the saddle-like instability of the task partitions state space into stable and unstable regions, and the intermittent switching exploits this geometry rather than fighting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3CD"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Intermittent control is not a limitation or approximation — it is the energetically optimal solution for a class of control problems characterized by saddle-point instability. The brain's 20W operational envelope is partially explained by the systematic exploitation of open-loop intervals across motor, cognitive, and attentional control loops.</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2.4  The Intermittent Control Agent (New in v2.0)</w:t>
      </w:r>
    </w:p>
    <w:p>
      <w:pPr>
        <w:spacing w:before="80" w:after="120"/>
        <w:jc w:val="both"/>
      </w:pPr>
      <w:r>
        <w:rPr>
          <w:rFonts w:ascii="Arial" w:cs="Arial" w:eastAsia="Arial" w:hAnsi="Arial"/>
          <w:b w:val="false"/>
          <w:bCs w:val="false"/>
          <w:i w:val="false"/>
          <w:iCs w:val="false"/>
          <w:color w:val="1B2A4A"/>
          <w:sz w:val="22"/>
          <w:szCs w:val="22"/>
        </w:rPr>
        <w:t xml:space="preserve">MACNN-RLS v2.0 adds a ninth agent — the Intermittent Control Agent — responsible for managing the feedback loop topology across all tiers. This agent continuously monitors the state of each controlled subsystem and makes binary open/close decisions for each feedback loop based on the following criteria:</w:t>
      </w:r>
    </w:p>
    <w:p>
      <w:pPr>
        <w:pStyle w:val="ListParagraph"/>
        <w:numPr>
          <w:ilvl w:val="0"/>
          <w:numId w:val="2"/>
        </w:numPr>
        <w:spacing w:before="60" w:after="60"/>
      </w:pPr>
      <w:r>
        <w:rPr>
          <w:rFonts w:ascii="Arial" w:cs="Arial" w:eastAsia="Arial" w:hAnsi="Arial"/>
          <w:color w:val="1B2A4A"/>
          <w:sz w:val="22"/>
          <w:szCs w:val="22"/>
        </w:rPr>
        <w:t xml:space="preserve">State proximity to the attractor manifold: loops near the attractor are opened; loops near the boundary of the instability basin are closed</w:t>
      </w:r>
    </w:p>
    <w:p>
      <w:pPr>
        <w:pStyle w:val="ListParagraph"/>
        <w:numPr>
          <w:ilvl w:val="0"/>
          <w:numId w:val="2"/>
        </w:numPr>
        <w:spacing w:before="60" w:after="60"/>
      </w:pPr>
      <w:r>
        <w:rPr>
          <w:rFonts w:ascii="Arial" w:cs="Arial" w:eastAsia="Arial" w:hAnsi="Arial"/>
          <w:color w:val="1B2A4A"/>
          <w:sz w:val="22"/>
          <w:szCs w:val="22"/>
        </w:rPr>
        <w:t xml:space="preserve">Energy budget monitoring: the agent maintains a running energy consumption estimate and opens non-critical loops when the budget approaches threshold</w:t>
      </w:r>
    </w:p>
    <w:p>
      <w:pPr>
        <w:pStyle w:val="ListParagraph"/>
        <w:numPr>
          <w:ilvl w:val="0"/>
          <w:numId w:val="2"/>
        </w:numPr>
        <w:spacing w:before="60" w:after="60"/>
      </w:pPr>
      <w:r>
        <w:rPr>
          <w:rFonts w:ascii="Arial" w:cs="Arial" w:eastAsia="Arial" w:hAnsi="Arial"/>
          <w:color w:val="1B2A4A"/>
          <w:sz w:val="22"/>
          <w:szCs w:val="22"/>
        </w:rPr>
        <w:t xml:space="preserve">Phase transition readiness: when the Cingulate Control Agent flags a conflict, the Intermittent Control Agent closes all relevant loops regardless of state proximity, maximizing responsiveness</w:t>
      </w:r>
    </w:p>
    <w:p>
      <w:pPr>
        <w:pStyle w:val="ListParagraph"/>
        <w:numPr>
          <w:ilvl w:val="0"/>
          <w:numId w:val="2"/>
        </w:numPr>
        <w:spacing w:before="60" w:after="60"/>
      </w:pPr>
      <w:r>
        <w:rPr>
          <w:rFonts w:ascii="Arial" w:cs="Arial" w:eastAsia="Arial" w:hAnsi="Arial"/>
          <w:color w:val="1B2A4A"/>
          <w:sz w:val="22"/>
          <w:szCs w:val="22"/>
        </w:rPr>
        <w:t xml:space="preserve">Quantum stochasticity injection: during open-loop intervals, a calibrated noise signal derived from a quantum random number generator is injected into the state estimate, preventing attractor trapping and maintaining the quasi-chaotic richness of the state trajectory</w:t>
      </w:r>
    </w:p>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III: Active Inference and the PMP Equivalence</w:t>
      </w:r>
    </w:p>
    <w:p>
      <w:pPr>
        <w:pStyle w:val="Heading2"/>
        <w:spacing w:before="280" w:after="140"/>
      </w:pPr>
      <w:r>
        <w:rPr>
          <w:rFonts w:ascii="Arial" w:cs="Arial" w:eastAsia="Arial" w:hAnsi="Arial"/>
          <w:b/>
          <w:bCs/>
          <w:color w:val="1E4D8C"/>
          <w:sz w:val="26"/>
          <w:szCs w:val="26"/>
        </w:rPr>
        <w:t xml:space="preserve">3.1  Friston's Free Energy Principle</w:t>
      </w:r>
    </w:p>
    <w:p>
      <w:pPr>
        <w:spacing w:before="80" w:after="120"/>
        <w:jc w:val="both"/>
      </w:pPr>
      <w:r>
        <w:rPr>
          <w:rFonts w:ascii="Arial" w:cs="Arial" w:eastAsia="Arial" w:hAnsi="Arial"/>
          <w:b w:val="false"/>
          <w:bCs w:val="false"/>
          <w:i w:val="false"/>
          <w:iCs w:val="false"/>
          <w:color w:val="1B2A4A"/>
          <w:sz w:val="22"/>
          <w:szCs w:val="22"/>
        </w:rPr>
        <w:t xml:space="preserve">Active inference, grounded in Friston's free energy principle, proposes that all perception, action, and learning can be unified under a single objective: the minimization of variational free energy, which bounds the surprise of sensory observations given the agent's generative model of the world. Under this framework, action is not the execution of motor commands but the fulfillment of proprioceptive predictions — the motor system acts to make the world conform to its predictions rather than updating its predictions to conform to the world.</w:t>
      </w:r>
    </w:p>
    <w:p>
      <w:pPr>
        <w:spacing w:before="80" w:after="120"/>
        <w:jc w:val="both"/>
      </w:pPr>
      <w:r>
        <w:rPr>
          <w:rFonts w:ascii="Arial" w:cs="Arial" w:eastAsia="Arial" w:hAnsi="Arial"/>
          <w:b w:val="false"/>
          <w:bCs w:val="false"/>
          <w:i w:val="false"/>
          <w:iCs w:val="false"/>
          <w:color w:val="1B2A4A"/>
          <w:sz w:val="22"/>
          <w:szCs w:val="22"/>
        </w:rPr>
        <w:t xml:space="preserve">This 'strange inversion' — Dennett's phrase as quoted by Friston and Parr — is philosophically convergent with the PMP's ideomotor principle: goals are specified as desired sensory consequences, not as motor commands, and the system generates action by minimizing the error between predicted and actual sensory state. The Gamma-command in the PMP corresponds functionally to the precision weighting of proprioceptive prediction errors in active inference: it gates when the motor system commits to a trajectory and how aggressively it corrects deviations.</w:t>
      </w:r>
    </w:p>
    <w:p>
      <w:pPr>
        <w:pStyle w:val="Heading2"/>
        <w:spacing w:before="280" w:after="140"/>
      </w:pPr>
      <w:r>
        <w:rPr>
          <w:rFonts w:ascii="Arial" w:cs="Arial" w:eastAsia="Arial" w:hAnsi="Arial"/>
          <w:b/>
          <w:bCs/>
          <w:color w:val="1E4D8C"/>
          <w:sz w:val="26"/>
          <w:szCs w:val="26"/>
        </w:rPr>
        <w:t xml:space="preserve">3.2  PMP ↔ Active Inference Correspondence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rPr>
          <w:tblHeader/>
        </w:trPr>
        <w:tc>
          <w:tcPr>
            <w:tcW w:type="dxa" w:w="25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PMP Component</w:t>
            </w:r>
          </w:p>
        </w:tc>
        <w:tc>
          <w:tcPr>
            <w:tcW w:type="dxa" w:w="2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Active Inference Equivalent</w:t>
            </w:r>
          </w:p>
        </w:tc>
        <w:tc>
          <w:tcPr>
            <w:tcW w:type="dxa" w:w="44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Functional Explanation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Goal target P_T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Proprioceptive prior (desired state)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The 'what' of action — specified as sensory consequence, not motor command</w:t>
            </w:r>
          </w:p>
        </w:tc>
      </w:tr>
      <w:tr>
        <w:tc>
          <w:tcPr>
            <w:tcW w:type="dxa" w:w="25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Exteroceptive force field F_T</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Prediction error signal</w:t>
            </w:r>
          </w:p>
        </w:tc>
        <w:tc>
          <w:tcPr>
            <w:tcW w:type="dxa" w:w="44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Drives the generative model toward the target state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Gamma-command Γ(t)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Precision weighting</w:t>
            </w:r>
          </w:p>
        </w:tc>
        <w:tc>
          <w:tcPr>
            <w:tcW w:type="dxa" w:w="4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Controls commitment to action; increases as execution nears completion</w:t>
            </w:r>
          </w:p>
        </w:tc>
      </w:tr>
      <w:tr>
        <w:tc>
          <w:tcPr>
            <w:tcW w:type="dxa" w:w="25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Compliance matrix C</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Prior covariance over DoFs</w:t>
            </w:r>
          </w:p>
        </w:tc>
        <w:tc>
          <w:tcPr>
            <w:tcW w:type="dxa" w:w="44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Weights DoF involvement according to task relevance and learned biomechanical priors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Jacobian J / J^T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Generative model Jacobian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The forward model linking proprioceptive causes to exteroceptive consequences</w:t>
            </w:r>
          </w:p>
        </w:tc>
      </w:tr>
      <w:tr>
        <w:tc>
          <w:tcPr>
            <w:tcW w:type="dxa" w:w="25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TRN lateral dynamics</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Approximate Bayesian inference</w:t>
            </w:r>
          </w:p>
        </w:tc>
        <w:tc>
          <w:tcPr>
            <w:tcW w:type="dxa" w:w="44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Spreading-then-sharpening population code implements iterative belief updating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Circular reaction babbling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Active sampling for model refinement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Self-generated experience optimizes the generative model rather than waiting for external data</w:t>
            </w:r>
          </w:p>
        </w:tc>
      </w:tr>
      <w:tr>
        <w:tc>
          <w:tcPr>
            <w:tcW w:type="dxa" w:w="25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Terminal attractor</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Fixed-point of free energy minimization</w:t>
            </w:r>
          </w:p>
        </w:tc>
        <w:tc>
          <w:tcPr>
            <w:tcW w:type="dxa" w:w="44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Both the moving target and end-effector converge to zero prediction error simultaneously</w:t>
            </w:r>
          </w:p>
        </w:tc>
      </w:tr>
    </w:tbl>
    <w:p>
      <w:pPr>
        <w:spacing w:before="0" w:after="0"/>
      </w:pPr>
      <w:r>
        <w:t xml:space="preserve"/>
      </w:r>
    </w:p>
    <w:p>
      <w:pPr>
        <w:spacing w:before="80" w:after="120"/>
        <w:jc w:val="both"/>
      </w:pPr>
      <w:r>
        <w:rPr>
          <w:rFonts w:ascii="Arial" w:cs="Arial" w:eastAsia="Arial" w:hAnsi="Arial"/>
          <w:b w:val="false"/>
          <w:bCs w:val="false"/>
          <w:i w:val="false"/>
          <w:iCs w:val="false"/>
          <w:color w:val="1B2A4A"/>
          <w:sz w:val="22"/>
          <w:szCs w:val="22"/>
        </w:rPr>
        <w:t xml:space="preserve">The correspondence is not merely analogical. The variational free energy formulation provides a normative justification for the PMP's computational choices: avoiding inverse kinematics is free energy minimization under a generative model where the proprioceptive-exteroceptive mapping is learned but the inverse mapping is not; the terminal attractor dynamics is precision-weighted gradient descent on prediction error; and the circular reaction is the optimal strategy for minimizing model uncertainty through active 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0EDE9"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MACNN-RLS v2.0 adopts the active inference formulation as the normative framework within which the PMP's computational mechanisms are interpreted. This unification enables direct comparison with the broader predictive processing literature and provides a principled basis for extending the architecture to perception, attention, and learning in a single coherent framework.</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IV: The LLM Cognitive Interface</w:t>
      </w:r>
    </w:p>
    <w:p>
      <w:pPr>
        <w:pStyle w:val="Heading2"/>
        <w:spacing w:before="280" w:after="140"/>
      </w:pPr>
      <w:r>
        <w:rPr>
          <w:rFonts w:ascii="Arial" w:cs="Arial" w:eastAsia="Arial" w:hAnsi="Arial"/>
          <w:b/>
          <w:bCs/>
          <w:color w:val="1E4D8C"/>
          <w:sz w:val="26"/>
          <w:szCs w:val="26"/>
        </w:rPr>
        <w:t xml:space="preserve">4.1  How LLMs Reshape Human Cognition</w:t>
      </w:r>
    </w:p>
    <w:p>
      <w:pPr>
        <w:spacing w:before="80" w:after="120"/>
        <w:jc w:val="both"/>
      </w:pPr>
      <w:r>
        <w:rPr>
          <w:rFonts w:ascii="Arial" w:cs="Arial" w:eastAsia="Arial" w:hAnsi="Arial"/>
          <w:b w:val="false"/>
          <w:bCs w:val="false"/>
          <w:i w:val="false"/>
          <w:iCs w:val="false"/>
          <w:color w:val="1B2A4A"/>
          <w:sz w:val="22"/>
          <w:szCs w:val="22"/>
        </w:rPr>
        <w:t xml:space="preserve">The integration of large language models into daily practice raises a set of questions that are directly relevant to MACNN-RLS when deployed in human-AI collaborative contexts: when a human partner interacts with the system through an LLM interface, what are the cognitive consequences of that interaction on the partner's attentional engagement, memory encoding, and decision-making? The emerging research literature identifies three primary effects:</w:t>
      </w:r>
    </w:p>
    <w:p>
      <w:pPr>
        <w:spacing w:before="80" w:after="100"/>
      </w:pPr>
      <w:r>
        <w:rPr>
          <w:rFonts w:ascii="Arial" w:cs="Arial" w:eastAsia="Arial" w:hAnsi="Arial"/>
          <w:b/>
          <w:bCs/>
          <w:color w:val="1B2A4A"/>
          <w:sz w:val="22"/>
          <w:szCs w:val="22"/>
        </w:rPr>
        <w:t xml:space="preserve">Cognitive offloading: </w:t>
      </w:r>
      <w:r>
        <w:rPr>
          <w:rFonts w:ascii="Arial" w:cs="Arial" w:eastAsia="Arial" w:hAnsi="Arial"/>
          <w:color w:val="1B2A4A"/>
          <w:sz w:val="22"/>
          <w:szCs w:val="22"/>
        </w:rPr>
        <w:t xml:space="preserve">Humans systematically reduce internal memory encoding and retrieval effort when an external AI system is available to store and retrieve information. This is adaptive in the short term but reduces the formation of long-term semantic memories, weakening the partner's independent expertise over time.</w:t>
      </w:r>
    </w:p>
    <w:p>
      <w:pPr>
        <w:spacing w:before="80" w:after="100"/>
      </w:pPr>
      <w:r>
        <w:rPr>
          <w:rFonts w:ascii="Arial" w:cs="Arial" w:eastAsia="Arial" w:hAnsi="Arial"/>
          <w:b/>
          <w:bCs/>
          <w:color w:val="1B2A4A"/>
          <w:sz w:val="22"/>
          <w:szCs w:val="22"/>
        </w:rPr>
        <w:t xml:space="preserve">Attentional restructuring: </w:t>
      </w:r>
      <w:r>
        <w:rPr>
          <w:rFonts w:ascii="Arial" w:cs="Arial" w:eastAsia="Arial" w:hAnsi="Arial"/>
          <w:color w:val="1B2A4A"/>
          <w:sz w:val="22"/>
          <w:szCs w:val="22"/>
        </w:rPr>
        <w:t xml:space="preserve">LLM-assisted tasks shift attention from deep engagement with content to surface-level evaluation of AI-generated outputs. The attentional pattern changes from generative to evaluative, with consequences for creativity, novel problem-solving, and the detection of AI errors.</w:t>
      </w:r>
    </w:p>
    <w:p>
      <w:pPr>
        <w:spacing w:before="80" w:after="100"/>
      </w:pPr>
      <w:r>
        <w:rPr>
          <w:rFonts w:ascii="Arial" w:cs="Arial" w:eastAsia="Arial" w:hAnsi="Arial"/>
          <w:b/>
          <w:bCs/>
          <w:color w:val="1B2A4A"/>
          <w:sz w:val="22"/>
          <w:szCs w:val="22"/>
        </w:rPr>
        <w:t xml:space="preserve">Decision bias introduction: </w:t>
      </w:r>
      <w:r>
        <w:rPr>
          <w:rFonts w:ascii="Arial" w:cs="Arial" w:eastAsia="Arial" w:hAnsi="Arial"/>
          <w:color w:val="1B2A4A"/>
          <w:sz w:val="22"/>
          <w:szCs w:val="22"/>
        </w:rPr>
        <w:t xml:space="preserve">Human-AI collaboration introduces systematic biases including automation bias (over-reliance on AI outputs), confirmation bias amplification (the AI's framing of a problem shapes how the human evaluates options), and anchoring effects (initial AI suggestions anchor subsequent human judgment even when the human consciously attempts to override them).</w:t>
      </w:r>
    </w:p>
    <w:p>
      <w:pPr>
        <w:spacing w:before="0" w:after="0"/>
      </w:pPr>
      <w:r>
        <w:t xml:space="preserve"/>
      </w:r>
    </w:p>
    <w:p>
      <w:pPr>
        <w:pStyle w:val="Heading2"/>
        <w:spacing w:before="280" w:after="140"/>
      </w:pPr>
      <w:r>
        <w:rPr>
          <w:rFonts w:ascii="Arial" w:cs="Arial" w:eastAsia="Arial" w:hAnsi="Arial"/>
          <w:b/>
          <w:bCs/>
          <w:color w:val="1E4D8C"/>
          <w:sz w:val="26"/>
          <w:szCs w:val="26"/>
        </w:rPr>
        <w:t xml:space="preserve">4.2  Neural Correlates of LLM Interaction</w:t>
      </w:r>
    </w:p>
    <w:p>
      <w:pPr>
        <w:spacing w:before="80" w:after="120"/>
        <w:jc w:val="both"/>
      </w:pPr>
      <w:r>
        <w:rPr>
          <w:rFonts w:ascii="Arial" w:cs="Arial" w:eastAsia="Arial" w:hAnsi="Arial"/>
          <w:b w:val="false"/>
          <w:bCs w:val="false"/>
          <w:i w:val="false"/>
          <w:iCs w:val="false"/>
          <w:color w:val="1B2A4A"/>
          <w:sz w:val="22"/>
          <w:szCs w:val="22"/>
        </w:rPr>
        <w:t xml:space="preserve">Neuroimaging studies of LLM-assisted cognition reveal measurable changes in default mode network activation (reduced self-referential processing during AI-assisted tasks), dorsolateral prefrontal cortex engagement (reduced activation in planning and working memory regions when AI provides scaffolding), and hippocampal encoding suppression (reduced memory trace formation when AI provides answers rather than supporting retrieval).</w:t>
      </w:r>
    </w:p>
    <w:p>
      <w:pPr>
        <w:spacing w:before="80" w:after="120"/>
        <w:jc w:val="both"/>
      </w:pPr>
      <w:r>
        <w:rPr>
          <w:rFonts w:ascii="Arial" w:cs="Arial" w:eastAsia="Arial" w:hAnsi="Arial"/>
          <w:b w:val="false"/>
          <w:bCs w:val="false"/>
          <w:i w:val="false"/>
          <w:iCs w:val="false"/>
          <w:color w:val="1B2A4A"/>
          <w:sz w:val="22"/>
          <w:szCs w:val="22"/>
        </w:rPr>
        <w:t xml:space="preserve">These findings have direct architectural implications for MACNN-RLS. A system designed for genuine human-AI partnership must not simply provide answers but must actively manage the cognitive effects of its own outputs — preserving the human partner's agency, expertise development, and critical evaluation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8D7DA"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The fundamental design challenge: a maximally helpful AI system in the short term (one that answers every question completely and immediately) may be a maximally harmful AI system in the long term (one that systematically degrades the human partner's independent cognitive capacity). MACNN-RLS must optimize for human flourishing over the full interaction horizon, not just immediate task performance.</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4.3  The LLM Cognitive Interface Agent (New in v2.0)</w:t>
      </w:r>
    </w:p>
    <w:p>
      <w:pPr>
        <w:spacing w:before="80" w:after="120"/>
        <w:jc w:val="both"/>
      </w:pPr>
      <w:r>
        <w:rPr>
          <w:rFonts w:ascii="Arial" w:cs="Arial" w:eastAsia="Arial" w:hAnsi="Arial"/>
          <w:b w:val="false"/>
          <w:bCs w:val="false"/>
          <w:i w:val="false"/>
          <w:iCs w:val="false"/>
          <w:color w:val="1B2A4A"/>
          <w:sz w:val="22"/>
          <w:szCs w:val="22"/>
        </w:rPr>
        <w:t xml:space="preserve">MACNN-RLS v2.0 adds a tenth agent — the LLM Cognitive Interface Agent — responsible for managing all linguistic interactions with human partners. This agent operates under a set of principles derived from the emerging cognitive neuroscience of human-AI interaction:</w:t>
      </w:r>
    </w:p>
    <w:p>
      <w:pPr>
        <w:pStyle w:val="Heading3"/>
        <w:spacing w:before="200" w:after="100"/>
      </w:pPr>
      <w:r>
        <w:rPr>
          <w:rFonts w:ascii="Arial" w:cs="Arial" w:eastAsia="Arial" w:hAnsi="Arial"/>
          <w:b/>
          <w:bCs/>
          <w:color w:val="2E75B6"/>
          <w:sz w:val="22"/>
          <w:szCs w:val="22"/>
        </w:rPr>
        <w:t xml:space="preserve">4.3.1  Cognitive Load Monitoring</w:t>
      </w:r>
    </w:p>
    <w:p>
      <w:pPr>
        <w:spacing w:before="80" w:after="120"/>
        <w:jc w:val="both"/>
      </w:pPr>
      <w:r>
        <w:rPr>
          <w:rFonts w:ascii="Arial" w:cs="Arial" w:eastAsia="Arial" w:hAnsi="Arial"/>
          <w:b w:val="false"/>
          <w:bCs w:val="false"/>
          <w:i w:val="false"/>
          <w:iCs w:val="false"/>
          <w:color w:val="1B2A4A"/>
          <w:sz w:val="22"/>
          <w:szCs w:val="22"/>
        </w:rPr>
        <w:t xml:space="preserve">The agent continuously estimates the human partner's current cognitive load from interaction patterns (response latency, query complexity, revision frequency, expression of uncertainty). When load is low, the agent provides richer, more elaborated responses that support deep encoding. When load is high, the agent provides minimal scaffolding and explicit prompts for the human to reconstruct key information — preserving hippocampal encoding rather than bypassing it.</w:t>
      </w:r>
    </w:p>
    <w:p>
      <w:pPr>
        <w:pStyle w:val="Heading3"/>
        <w:spacing w:before="200" w:after="100"/>
      </w:pPr>
      <w:r>
        <w:rPr>
          <w:rFonts w:ascii="Arial" w:cs="Arial" w:eastAsia="Arial" w:hAnsi="Arial"/>
          <w:b/>
          <w:bCs/>
          <w:color w:val="2E75B6"/>
          <w:sz w:val="22"/>
          <w:szCs w:val="22"/>
        </w:rPr>
        <w:t xml:space="preserve">4.3.2  Expertise Preservation Protocol</w:t>
      </w:r>
    </w:p>
    <w:p>
      <w:pPr>
        <w:spacing w:before="80" w:after="120"/>
        <w:jc w:val="both"/>
      </w:pPr>
      <w:r>
        <w:rPr>
          <w:rFonts w:ascii="Arial" w:cs="Arial" w:eastAsia="Arial" w:hAnsi="Arial"/>
          <w:b w:val="false"/>
          <w:bCs w:val="false"/>
          <w:i w:val="false"/>
          <w:iCs w:val="false"/>
          <w:color w:val="1B2A4A"/>
          <w:sz w:val="22"/>
          <w:szCs w:val="22"/>
        </w:rPr>
        <w:t xml:space="preserve">The agent maintains a longitudinal model of each human partner's knowledge state. For domains where the partner has established expertise, the agent defaults to collaborative reasoning — presenting partial analyses and inviting completion — rather than comprehensive answers. For novel domains, the agent provides structured learning sequences rather than direct information transfer, calibrating to the optimal learning rate for durable skill acquisition.</w:t>
      </w:r>
    </w:p>
    <w:p>
      <w:pPr>
        <w:pStyle w:val="Heading3"/>
        <w:spacing w:before="200" w:after="100"/>
      </w:pPr>
      <w:r>
        <w:rPr>
          <w:rFonts w:ascii="Arial" w:cs="Arial" w:eastAsia="Arial" w:hAnsi="Arial"/>
          <w:b/>
          <w:bCs/>
          <w:color w:val="2E75B6"/>
          <w:sz w:val="22"/>
          <w:szCs w:val="22"/>
        </w:rPr>
        <w:t xml:space="preserve">4.3.3  Decision Autonomy Safeguards</w:t>
      </w:r>
    </w:p>
    <w:p>
      <w:pPr>
        <w:spacing w:before="80" w:after="120"/>
        <w:jc w:val="both"/>
      </w:pPr>
      <w:r>
        <w:rPr>
          <w:rFonts w:ascii="Arial" w:cs="Arial" w:eastAsia="Arial" w:hAnsi="Arial"/>
          <w:b w:val="false"/>
          <w:bCs w:val="false"/>
          <w:i w:val="false"/>
          <w:iCs w:val="false"/>
          <w:color w:val="1B2A4A"/>
          <w:sz w:val="22"/>
          <w:szCs w:val="22"/>
        </w:rPr>
        <w:t xml:space="preserve">For consequential decisions, the agent implements a deliberate delay between presenting options and accepting a choice, during which it surfaces the key uncertainties and tradeoffs without recommending a specific option. This counteracts anchoring effects from the system's own prior outputs. The agent explicitly flags when its analysis is likely to introduce automation bias and invites the partner to generate an independent assessment before reviewing the AI analysis.</w:t>
      </w:r>
    </w:p>
    <w:p>
      <w:pPr>
        <w:pStyle w:val="Heading3"/>
        <w:spacing w:before="200" w:after="100"/>
      </w:pPr>
      <w:r>
        <w:rPr>
          <w:rFonts w:ascii="Arial" w:cs="Arial" w:eastAsia="Arial" w:hAnsi="Arial"/>
          <w:b/>
          <w:bCs/>
          <w:color w:val="2E75B6"/>
          <w:sz w:val="22"/>
          <w:szCs w:val="22"/>
        </w:rPr>
        <w:t xml:space="preserve">4.3.4  Attentional Engagement Calibration</w:t>
      </w:r>
    </w:p>
    <w:p>
      <w:pPr>
        <w:spacing w:before="80" w:after="120"/>
        <w:jc w:val="both"/>
      </w:pPr>
      <w:r>
        <w:rPr>
          <w:rFonts w:ascii="Arial" w:cs="Arial" w:eastAsia="Arial" w:hAnsi="Arial"/>
          <w:b w:val="false"/>
          <w:bCs w:val="false"/>
          <w:i w:val="false"/>
          <w:iCs w:val="false"/>
          <w:color w:val="1B2A4A"/>
          <w:sz w:val="22"/>
          <w:szCs w:val="22"/>
        </w:rPr>
        <w:t xml:space="preserve">The agent monitors attentional signatures in interaction patterns and adjusts its output depth and format to maintain the evaluative depth characteristic of generative (rather than merely evaluative) attentional engagement. Long sequences of simple confirmatory interactions trigger a deliberate increase in output complexity, introducing productive challenge that sustains prefrontal engagement.</w:t>
      </w:r>
    </w:p>
    <w:p>
      <w:pPr>
        <w:spacing w:before="0" w:after="0"/>
      </w:pPr>
      <w:r>
        <w:t xml:space="preserve"/>
      </w:r>
    </w:p>
    <w:p>
      <w:pPr>
        <w:pStyle w:val="Heading2"/>
        <w:spacing w:before="280" w:after="140"/>
      </w:pPr>
      <w:r>
        <w:rPr>
          <w:rFonts w:ascii="Arial" w:cs="Arial" w:eastAsia="Arial" w:hAnsi="Arial"/>
          <w:b/>
          <w:bCs/>
          <w:color w:val="1E4D8C"/>
          <w:sz w:val="26"/>
          <w:szCs w:val="26"/>
        </w:rPr>
        <w:t xml:space="preserve">4.4  The Human-AI Feedback Loop</w:t>
      </w:r>
    </w:p>
    <w:p>
      <w:pPr>
        <w:spacing w:before="80" w:after="120"/>
        <w:jc w:val="both"/>
      </w:pPr>
      <w:r>
        <w:rPr>
          <w:rFonts w:ascii="Arial" w:cs="Arial" w:eastAsia="Arial" w:hAnsi="Arial"/>
          <w:b w:val="false"/>
          <w:bCs w:val="false"/>
          <w:i w:val="false"/>
          <w:iCs w:val="false"/>
          <w:color w:val="1B2A4A"/>
          <w:sz w:val="22"/>
          <w:szCs w:val="22"/>
        </w:rPr>
        <w:t xml:space="preserve">The LLM Cognitive Interface Agent is fully integrated into the MACNN-RLS feedback loop topology. Human partner responses are not merely inputs to be processed but calibration signals for the longitudinal partner model. The system learns what explanatory framings, what levels of scaffolding, and what decision-support formats best preserve and develop each individual partner's cognitive capacity. This learning is implemented in the Hippocampal Memory Agent and consolidated through the same offline replay mechanism used for all other episodic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DE0F7"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The LLM Cognitive Interface Agent is the system's embodied ethics module. Its goal is not task completion but human flourishing. Every interaction is evaluated not only against accuracy and efficiency metrics but against its longitudinal impact on the partner's cognitive autonomy, expertise, and epistemic agency.</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V: Complete Ten-Agent Architecture</w:t>
      </w:r>
    </w:p>
    <w:p>
      <w:pPr>
        <w:pStyle w:val="Heading2"/>
        <w:spacing w:before="280" w:after="140"/>
      </w:pPr>
      <w:r>
        <w:rPr>
          <w:rFonts w:ascii="Arial" w:cs="Arial" w:eastAsia="Arial" w:hAnsi="Arial"/>
          <w:b/>
          <w:bCs/>
          <w:color w:val="1E4D8C"/>
          <w:sz w:val="26"/>
          <w:szCs w:val="26"/>
        </w:rPr>
        <w:t xml:space="preserve">5.1  Agent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800"/>
        <w:gridCol w:w="3400"/>
        <w:gridCol w:w="1600"/>
      </w:tblGrid>
      <w:tr>
        <w:trPr>
          <w:tblHeader/>
        </w:trPr>
        <w:tc>
          <w:tcPr>
            <w:tcW w:type="dxa" w:w="3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t>
            </w:r>
          </w:p>
        </w:tc>
        <w:tc>
          <w:tcPr>
            <w:tcW w:type="dxa" w:w="2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Agent</w:t>
            </w:r>
          </w:p>
        </w:tc>
        <w:tc>
          <w:tcPr>
            <w:tcW w:type="dxa" w:w="1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Tier</w:t>
            </w:r>
          </w:p>
        </w:tc>
        <w:tc>
          <w:tcPr>
            <w:tcW w:type="dxa" w:w="3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Primary Function</w:t>
            </w:r>
          </w:p>
        </w:tc>
        <w:tc>
          <w:tcPr>
            <w:tcW w:type="dxa" w:w="16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Learning Mechanism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Brainstem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1 – Input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ICA filtering, sliding window segmentation, multi-modal normalization, autonomic load monitoring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Deterministic preprocessing; no learning</w:t>
            </w:r>
          </w:p>
        </w:tc>
      </w:tr>
      <w:tr>
        <w:tc>
          <w:tcPr>
            <w:tcW w:type="dxa" w:w="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w:t>
            </w:r>
          </w:p>
        </w:tc>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Thalamic Relay Agent</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2 – Integration</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Attention-weighted routing, top-down gating from PFC, PCA compression</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Salience map updated by RL signal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Basal Ganglia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2 – Integration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TD(λ) Q-learning, reward prediction error, habit compilation, policy caching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Continuous RL; habits compiled at reward threshold</w:t>
            </w:r>
          </w:p>
        </w:tc>
      </w:tr>
      <w:tr>
        <w:tc>
          <w:tcPr>
            <w:tcW w:type="dxa" w:w="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4</w:t>
            </w:r>
          </w:p>
        </w:tc>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Hippocampal Memory Agent</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3 – Deep</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Dual CLS rapid + slow encoding, offline replay consolidation, associative retrieval</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Hebbian + replay; no backprop</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Limbic Feature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3 – Deep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3D-CNN-GAN, TFPF voxel generation, cross-session generalization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Adversarial training; 2-layer 3D-CNN</w:t>
            </w:r>
          </w:p>
        </w:tc>
      </w:tr>
      <w:tr>
        <w:tc>
          <w:tcPr>
            <w:tcW w:type="dxa" w:w="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6</w:t>
            </w:r>
          </w:p>
        </w:tc>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Cingulate Control Agent</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3 – Deep</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Conflict detection, exploration-exploitation balance, escalation flag</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Threshold-based conflict monitor</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PMP Synergy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4 – Executive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Dual-TRN Jacobian learning, terminal attractor, compliance matrix adaptation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Circular reaction + Hebbian</w:t>
            </w:r>
          </w:p>
        </w:tc>
      </w:tr>
      <w:tr>
        <w:tc>
          <w:tcPr>
            <w:tcW w:type="dxa" w:w="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8</w:t>
            </w:r>
          </w:p>
        </w:tc>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Prefrontal Executive Agent</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4 – Executive</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Goal maintenance, GAN counterfactual simulation, cross-tier integration, top-down modulation</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Combines all learning modes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Intermittent Control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Cross-Tier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Feedback loop open/close management, energy budget, quantum noise injection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Saddle-state geometry monitoring</w:t>
            </w:r>
          </w:p>
        </w:tc>
      </w:tr>
      <w:tr>
        <w:tc>
          <w:tcPr>
            <w:tcW w:type="dxa" w:w="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10</w:t>
            </w:r>
          </w:p>
        </w:tc>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LLM Cognitive Interface Agent</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Human Interface</w:t>
            </w:r>
          </w:p>
        </w:tc>
        <w:tc>
          <w:tcPr>
            <w:tcW w:type="dxa" w:w="3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Partner cognitive load monitoring, expertise preservation, decision autonomy safeguards</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Longitudinal partner model (Hebbian)</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5.2  Feedback Loop Topology (Updated)</w:t>
      </w:r>
    </w:p>
    <w:p>
      <w:pPr>
        <w:spacing w:before="80" w:after="120"/>
        <w:jc w:val="both"/>
      </w:pPr>
      <w:r>
        <w:rPr>
          <w:rFonts w:ascii="Arial" w:cs="Arial" w:eastAsia="Arial" w:hAnsi="Arial"/>
          <w:b w:val="false"/>
          <w:bCs w:val="false"/>
          <w:i w:val="false"/>
          <w:iCs w:val="false"/>
          <w:color w:val="1B2A4A"/>
          <w:sz w:val="22"/>
          <w:szCs w:val="22"/>
        </w:rPr>
        <w:t xml:space="preserve">MACNN-RLS v2.0 operates across five nested feedback loops managed by the Intermittent Control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2400"/>
        <w:gridCol w:w="1560"/>
      </w:tblGrid>
      <w:tr>
        <w:trPr>
          <w:tblHeader/>
        </w:trPr>
        <w:tc>
          <w:tcPr>
            <w:tcW w:type="dxa" w:w="2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Loop</w:t>
            </w:r>
          </w:p>
        </w:tc>
        <w:tc>
          <w:tcPr>
            <w:tcW w:type="dxa" w:w="1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Time Scale</w:t>
            </w:r>
          </w:p>
        </w:tc>
        <w:tc>
          <w:tcPr>
            <w:tcW w:type="dxa" w:w="2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Agents Involved</w:t>
            </w:r>
          </w:p>
        </w:tc>
        <w:tc>
          <w:tcPr>
            <w:tcW w:type="dxa" w:w="2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Function</w:t>
            </w:r>
          </w:p>
        </w:tc>
        <w:tc>
          <w:tcPr>
            <w:tcW w:type="dxa" w:w="15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Intermittent Control 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Loop 1: Reflex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~10ms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Brainstem ↔ Thalamus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ICA artifact rejection, sensory gating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Always closed; no intermittent control</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Loop 2: Cerebellar</w:t>
            </w:r>
          </w:p>
        </w:tc>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~100ms</w:t>
            </w:r>
          </w:p>
        </w:tc>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2 ↔ Tier 3</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Reward signal and feature encoding update</w:t>
            </w:r>
          </w:p>
        </w:tc>
        <w:tc>
          <w:tcPr>
            <w:tcW w:type="dxa" w:w="1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Opened when state near attractor; ~30% duty cycle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Loop 3: Prefrontal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Tier 3 ↔ Tier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Goal-feature alignment, deliberate planning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Opened during consolidated execution; ~50% duty cycle</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Loop 4: Consolidation</w:t>
            </w:r>
          </w:p>
        </w:tc>
        <w:tc>
          <w:tcPr>
            <w:tcW w:type="dxa" w:w="1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~minutes</w:t>
            </w:r>
          </w:p>
        </w:tc>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All tiers (offline)</w:t>
            </w:r>
          </w:p>
        </w:tc>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Hippocampal replay, schema formation</w:t>
            </w:r>
          </w:p>
        </w:tc>
        <w:tc>
          <w:tcPr>
            <w:tcW w:type="dxa" w:w="1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Active during low-input intervals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Loop 5: Human-AI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~seconds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LLM Agent ↔ Human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Partner model calibration, autonomy preservation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Managed by LLM Agent protocol</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5.3  Message Protocol (v2.0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Field</w:t>
            </w:r>
          </w:p>
        </w:tc>
        <w:tc>
          <w:tcPr>
            <w:tcW w:type="dxa" w:w="16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Type</w:t>
            </w:r>
          </w:p>
        </w:tc>
        <w:tc>
          <w:tcPr>
            <w:tcW w:type="dxa" w:w="14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Required</w:t>
            </w:r>
          </w:p>
        </w:tc>
        <w:tc>
          <w:tcPr>
            <w:tcW w:type="dxa" w:w="39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sender_id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Originating agent identifier</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receiver_id</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string</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w:t>
            </w:r>
          </w:p>
        </w:tc>
        <w:tc>
          <w:tcPr>
            <w:tcW w:type="dxa" w:w="3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Target agent ID or 'broadcast'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message_type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SIGNAL | QUERY | MODULATION | ALERT | PLAN | HUMAN_RESPONSE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payload</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TFPF voxel or JSON</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w:t>
            </w:r>
          </w:p>
        </w:tc>
        <w:tc>
          <w:tcPr>
            <w:tcW w:type="dxa" w:w="3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Primary data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salience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float [0,1]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Attention priority weight</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confidence</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float [0,1]</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w:t>
            </w:r>
          </w:p>
        </w:tc>
        <w:tc>
          <w:tcPr>
            <w:tcW w:type="dxa" w:w="3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Producing agent's certainty estimate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loop_state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OPEN | CLOSED | TRANSITIONING (from Intermittent Control Agent)</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quantum_noise_seed</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int64 or null</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Conditional</w:t>
            </w:r>
          </w:p>
        </w:tc>
        <w:tc>
          <w:tcPr>
            <w:tcW w:type="dxa" w:w="3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QRNG seed if loop was open; null if 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partner_load_estimate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float [0,1]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Conditional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Current human cognitive load (LLM Agent only)</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goal_context</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vector</w:t>
            </w:r>
          </w:p>
        </w:tc>
        <w:tc>
          <w:tcPr>
            <w:tcW w:type="dxa" w:w="14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Optional</w:t>
            </w:r>
          </w:p>
        </w:tc>
        <w:tc>
          <w:tcPr>
            <w:tcW w:type="dxa" w:w="39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Active goal state from PFC at time of send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consolidation_flag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bool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Optional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Request offline replay inclusion</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VI: Learning Architecture</w:t>
      </w:r>
    </w:p>
    <w:p>
      <w:pPr>
        <w:pStyle w:val="Heading2"/>
        <w:spacing w:before="280" w:after="140"/>
      </w:pPr>
      <w:r>
        <w:rPr>
          <w:rFonts w:ascii="Arial" w:cs="Arial" w:eastAsia="Arial" w:hAnsi="Arial"/>
          <w:b/>
          <w:bCs/>
          <w:color w:val="1E4D8C"/>
          <w:sz w:val="26"/>
          <w:szCs w:val="26"/>
        </w:rPr>
        <w:t xml:space="preserve">6.1  The Five Learning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1800"/>
        <w:gridCol w:w="1760"/>
      </w:tblGrid>
      <w:tr>
        <w:trPr>
          <w:tblHeader/>
        </w:trPr>
        <w:tc>
          <w:tcPr>
            <w:tcW w:type="dxa" w:w="20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Mechanism</w:t>
            </w:r>
          </w:p>
        </w:tc>
        <w:tc>
          <w:tcPr>
            <w:tcW w:type="dxa" w:w="2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Site</w:t>
            </w:r>
          </w:p>
        </w:tc>
        <w:tc>
          <w:tcPr>
            <w:tcW w:type="dxa" w:w="16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Supervision</w:t>
            </w:r>
          </w:p>
        </w:tc>
        <w:tc>
          <w:tcPr>
            <w:tcW w:type="dxa" w:w="1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Training Data</w:t>
            </w:r>
          </w:p>
        </w:tc>
        <w:tc>
          <w:tcPr>
            <w:tcW w:type="dxa" w:w="17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Completion Criterion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Competitive Hebbian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TRN topology formation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Unsupervised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Circular reaction babbling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Kissing-number convergence (K≈12 for 3D manifolds)</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Reinforcement (TD-λ)</w:t>
            </w:r>
          </w:p>
        </w:tc>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Q-function in Basal Ganglia Agent</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Self-supervised</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Reward prediction error</w:t>
            </w:r>
          </w:p>
        </w:tc>
        <w:tc>
          <w:tcPr>
            <w:tcW w:type="dxa" w:w="1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Habit compilation at cumulative reward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Adversarial (GAN)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TFPF distribution learning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Unsupervised generative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Real TFPF voxels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Discriminator accuracy plateau; connectivity motif amplification</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Offline Replay</w:t>
            </w:r>
          </w:p>
        </w:tc>
        <w:tc>
          <w:tcPr>
            <w:tcW w:type="dxa" w:w="2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Hippocampal consolidation</w:t>
            </w:r>
          </w:p>
        </w:tc>
        <w:tc>
          <w:tcPr>
            <w:tcW w:type="dxa" w:w="16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Self-supervised</w:t>
            </w:r>
          </w:p>
        </w:tc>
        <w:tc>
          <w:tcPr>
            <w:tcW w:type="dxa" w:w="1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Episode buffer</w:t>
            </w:r>
          </w:p>
        </w:tc>
        <w:tc>
          <w:tcPr>
            <w:tcW w:type="dxa" w:w="17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Catastrophic forgetting reduction &gt;30% vs. 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Longitudinal Partner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LLM Agent partner calibration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Implicit feedback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Interaction response patterns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Partner cognitive load estimation error &lt;15%</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6.2  The Circular Reaction Bootstrap</w:t>
      </w:r>
    </w:p>
    <w:p>
      <w:pPr>
        <w:spacing w:before="80" w:after="120"/>
        <w:jc w:val="both"/>
      </w:pPr>
      <w:r>
        <w:rPr>
          <w:rFonts w:ascii="Arial" w:cs="Arial" w:eastAsia="Arial" w:hAnsi="Arial"/>
          <w:b w:val="false"/>
          <w:bCs w:val="false"/>
          <w:i w:val="false"/>
          <w:iCs w:val="false"/>
          <w:color w:val="1B2A4A"/>
          <w:sz w:val="22"/>
          <w:szCs w:val="22"/>
        </w:rPr>
        <w:t xml:space="preserve">All agents requiring a learned internal model are initialized through the circular reaction strategy. The agent generates random outputs, records the resulting state changes, and constructs an unlabeled training corpus from its own exploration — behaviorally unsupervised in the strictest sense. This is not merely a biological plausibility constraint but a practical requirement: the system must be capable of acquiring competence in genuinely novel domains where no labeled training data exists.</w:t>
      </w:r>
    </w:p>
    <w:p>
      <w:pPr>
        <w:spacing w:before="80" w:after="120"/>
        <w:jc w:val="both"/>
      </w:pPr>
      <w:r>
        <w:rPr>
          <w:rFonts w:ascii="Arial" w:cs="Arial" w:eastAsia="Arial" w:hAnsi="Arial"/>
          <w:b w:val="false"/>
          <w:bCs w:val="false"/>
          <w:i w:val="false"/>
          <w:iCs w:val="false"/>
          <w:color w:val="1B2A4A"/>
          <w:sz w:val="22"/>
          <w:szCs w:val="22"/>
        </w:rPr>
        <w:t xml:space="preserve">The three phases — babbling, topology learning, and Jacobian refinement — are sequential within each agent's initialization but concurrent across agents during the system's first deployment in a new environment. The Prefrontal Executive Agent coordinates the initialization schedule, prioritizing agents whose learned models are prerequisite for other agents'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4EDDA"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The circular reaction strategy is self-supervised in the strongest sense: no human labels, no reward signal, no target outputs during initialization. The agent is simultaneously its own teacher, its own training environment, and its own evaluation criterion. This property is what enables deployment in novel domains without domain-specific pretraining.</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6.3  Addressing Catastrophic Forgetting</w:t>
      </w:r>
    </w:p>
    <w:p>
      <w:pPr>
        <w:spacing w:before="80" w:after="120"/>
        <w:jc w:val="both"/>
      </w:pPr>
      <w:r>
        <w:rPr>
          <w:rFonts w:ascii="Arial" w:cs="Arial" w:eastAsia="Arial" w:hAnsi="Arial"/>
          <w:b w:val="false"/>
          <w:bCs w:val="false"/>
          <w:i w:val="false"/>
          <w:iCs w:val="false"/>
          <w:color w:val="1B2A4A"/>
          <w:sz w:val="22"/>
          <w:szCs w:val="22"/>
        </w:rPr>
        <w:t xml:space="preserve">The dual complementary learning systems architecture of the Hippocampal Memory Agent addresses the catastrophic forgetting problem that afflicts standard deep learning. The rapid hippocampal encoding store has high plasticity and updates at every time step. The neocortical slow consolidation store is updated only during offline replay intervals, averaging representations across multiple episodes to extract statistical regularities while preventing overwriting of previously consolidated knowledge.</w:t>
      </w:r>
    </w:p>
    <w:p>
      <w:pPr>
        <w:spacing w:before="80" w:after="120"/>
        <w:jc w:val="both"/>
      </w:pPr>
      <w:r>
        <w:rPr>
          <w:rFonts w:ascii="Arial" w:cs="Arial" w:eastAsia="Arial" w:hAnsi="Arial"/>
          <w:b w:val="false"/>
          <w:bCs w:val="false"/>
          <w:i w:val="false"/>
          <w:iCs w:val="false"/>
          <w:color w:val="1B2A4A"/>
          <w:sz w:val="22"/>
          <w:szCs w:val="22"/>
        </w:rPr>
        <w:t xml:space="preserve">The replay mechanism is the key: during low-input intervals, the Hippocampal Agent replays compressed episode sequences to the Basal Ganglia Agent for policy refinement. New episodes are interleaved with replays of older episodes, ensuring that the reward signal for new learning does not systematically overwrite the reward landscape for previously learned behaviors.</w:t>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VII: Implementation Roadmap</w:t>
      </w:r>
    </w:p>
    <w:p>
      <w:pPr>
        <w:pStyle w:val="Heading2"/>
        <w:spacing w:before="280" w:after="140"/>
      </w:pPr>
      <w:r>
        <w:rPr>
          <w:rFonts w:ascii="Arial" w:cs="Arial" w:eastAsia="Arial" w:hAnsi="Arial"/>
          <w:b/>
          <w:bCs/>
          <w:color w:val="1E4D8C"/>
          <w:sz w:val="26"/>
          <w:szCs w:val="26"/>
        </w:rPr>
        <w:t xml:space="preserve">Phase 1: Foundation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t>
            </w:r>
          </w:p>
        </w:tc>
        <w:tc>
          <w:tcPr>
            <w:tcW w:type="dxa" w:w="3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Milestone</w:t>
            </w:r>
          </w:p>
        </w:tc>
        <w:tc>
          <w:tcPr>
            <w:tcW w:type="dxa" w:w="53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Success Criterion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Brainstem Agent + TFPF pipeline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ICA rejection &gt;95%; 3D-CNN within-session ≥76% GigaDB, ≥67% SHU</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1.2</w:t>
            </w:r>
          </w:p>
        </w:tc>
        <w:tc>
          <w:tcPr>
            <w:tcW w:type="dxa" w:w="3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GAN augmentation</w:t>
            </w:r>
          </w:p>
        </w:tc>
        <w:tc>
          <w:tcPr>
            <w:tcW w:type="dxa" w:w="5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Within-session improvement ≥+4% SHU; cross-session ≥+5% SHU</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Inter-agent message bus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Full v2.0 protocol; fast loop (Brainstem ↔ Thalamus) latency &lt;10ms</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1.4</w:t>
            </w:r>
          </w:p>
        </w:tc>
        <w:tc>
          <w:tcPr>
            <w:tcW w:type="dxa" w:w="3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Intermittent Control Agent (basic)</w:t>
            </w:r>
          </w:p>
        </w:tc>
        <w:tc>
          <w:tcPr>
            <w:tcW w:type="dxa" w:w="5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Open/close decisions verified on simulated inverted-pendulum; energy reduction &gt;40% vs. always-closed</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Phase 2: Learning Infrastructure (Months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t>
            </w:r>
          </w:p>
        </w:tc>
        <w:tc>
          <w:tcPr>
            <w:tcW w:type="dxa" w:w="3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Milestone</w:t>
            </w:r>
          </w:p>
        </w:tc>
        <w:tc>
          <w:tcPr>
            <w:tcW w:type="dxa" w:w="53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Success Criterion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TRN + Hebbian learning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Kissing-number convergence for 3D manifolds: interior node degree 12 ± 2</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2.2</w:t>
            </w:r>
          </w:p>
        </w:tc>
        <w:tc>
          <w:tcPr>
            <w:tcW w:type="dxa" w:w="3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Circular reaction bootstrap</w:t>
            </w:r>
          </w:p>
        </w:tc>
        <w:tc>
          <w:tcPr>
            <w:tcW w:type="dxa" w:w="5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Jacobian approximation error &lt;5% on simulated kinematic chain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PMP Synergy Module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Bell-shaped velocity profiles; straight-line reaching trajectories reproduced</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2.4</w:t>
            </w:r>
          </w:p>
        </w:tc>
        <w:tc>
          <w:tcPr>
            <w:tcW w:type="dxa" w:w="3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Hippocampal dual-CLS + replay</w:t>
            </w:r>
          </w:p>
        </w:tc>
        <w:tc>
          <w:tcPr>
            <w:tcW w:type="dxa" w:w="5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Catastrophic forgetting reduction &gt;30% on sequential task battery vs. no-replay baseline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Active inference reformulation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Free energy gradient descent equivalence verified against PMP ODE simulation</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Phase 3: Integration and Reasoning (Months 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t>
            </w:r>
          </w:p>
        </w:tc>
        <w:tc>
          <w:tcPr>
            <w:tcW w:type="dxa" w:w="3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Milestone</w:t>
            </w:r>
          </w:p>
        </w:tc>
        <w:tc>
          <w:tcPr>
            <w:tcW w:type="dxa" w:w="53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Success Criterion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Full ten-agent integration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All five feedback loops operational; top-down modulation reduces Tier 1 false positive rate &gt;20%</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3.2</w:t>
            </w:r>
          </w:p>
        </w:tc>
        <w:tc>
          <w:tcPr>
            <w:tcW w:type="dxa" w:w="3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Prefrontal counterfactual simulation</w:t>
            </w:r>
          </w:p>
        </w:tc>
        <w:tc>
          <w:tcPr>
            <w:tcW w:type="dxa" w:w="5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GAN prospective evaluation improves plan quality vs. no-simulation baseline on standardized task set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LLM Cognitive Interface Agent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Partner cognitive load estimation error &lt;15%; expertise preservation protocol validated over 30-session longitudinal study</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3.4</w:t>
            </w:r>
          </w:p>
        </w:tc>
        <w:tc>
          <w:tcPr>
            <w:tcW w:type="dxa" w:w="3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End-to-end benchmark</w:t>
            </w:r>
          </w:p>
        </w:tc>
        <w:tc>
          <w:tcPr>
            <w:tcW w:type="dxa" w:w="5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Exceeds state-of-art single-architecture baselines on ≥3 of 5 benchmark categories</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Phase 4: Neuromorphic Deployment (Months 10–12)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w:t>
            </w:r>
          </w:p>
        </w:tc>
        <w:tc>
          <w:tcPr>
            <w:tcW w:type="dxa" w:w="32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Milestone</w:t>
            </w:r>
          </w:p>
        </w:tc>
        <w:tc>
          <w:tcPr>
            <w:tcW w:type="dxa" w:w="53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Success Criterion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4.1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Spiking TRN variant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Loihi-compatible SNN implementation; classification accuracy within 3% of continuous-activation baseline</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4.2</w:t>
            </w:r>
          </w:p>
        </w:tc>
        <w:tc>
          <w:tcPr>
            <w:tcW w:type="dxa" w:w="3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Quantum noise injection</w:t>
            </w:r>
          </w:p>
        </w:tc>
        <w:tc>
          <w:tcPr>
            <w:tcW w:type="dxa" w:w="5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QRNG-seeded intermittent control; quasi-chaotic state trajectory verified; energy reduction target &lt;100W total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4.3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Embodied robotics integration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MACNN-RLS as cognitive architecture for physical platform in unstructured environment; task success rate &gt;70% on novel manipulation tasks</w:t>
            </w:r>
          </w:p>
        </w:tc>
      </w:tr>
      <w:tr>
        <w:tc>
          <w:tcPr>
            <w:tcW w:type="dxa" w:w="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4.4</w:t>
            </w:r>
          </w:p>
        </w:tc>
        <w:tc>
          <w:tcPr>
            <w:tcW w:type="dxa" w:w="32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Human-robot interaction pilot</w:t>
            </w:r>
          </w:p>
        </w:tc>
        <w:tc>
          <w:tcPr>
            <w:tcW w:type="dxa" w:w="53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10-subject study; partner cognitive load maintained or improved vs. standard AI interface over 10-session protocol</w:t>
            </w:r>
          </w:p>
        </w:tc>
      </w:tr>
    </w:tbl>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VIII: Innovations, Limitations, and Future Directions</w:t>
      </w:r>
    </w:p>
    <w:p>
      <w:pPr>
        <w:pStyle w:val="Heading2"/>
        <w:spacing w:before="280" w:after="140"/>
      </w:pPr>
      <w:r>
        <w:rPr>
          <w:rFonts w:ascii="Arial" w:cs="Arial" w:eastAsia="Arial" w:hAnsi="Arial"/>
          <w:b/>
          <w:bCs/>
          <w:color w:val="1E4D8C"/>
          <w:sz w:val="26"/>
          <w:szCs w:val="26"/>
        </w:rPr>
        <w:t xml:space="preserve">8.1  Key Innovations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Innovation</w:t>
            </w:r>
          </w:p>
        </w:tc>
        <w:tc>
          <w:tcPr>
            <w:tcW w:type="dxa" w:w="6560"/>
            <w:tcBorders>
              <w:top w:val="single" w:color="2E75B6" w:sz="4"/>
              <w:left w:val="single" w:color="2E75B6" w:sz="4"/>
              <w:bottom w:val="single" w:color="2E75B6" w:sz="4"/>
              <w:right w:val="single" w:color="2E75B6" w:sz="4"/>
            </w:tcBorders>
            <w:shd w:fill="1E4D8C" w:val="clear"/>
            <w:tcMar>
              <w:top w:type="dxa" w:w="100"/>
              <w:left w:type="dxa" w:w="160"/>
              <w:bottom w:type="dxa" w:w="100"/>
              <w:right w:type="dxa" w:w="160"/>
            </w:tcMar>
          </w:tcPr>
          <w:p>
            <w:pPr>
              <w:spacing w:before="0" w:after="0"/>
            </w:pPr>
            <w:r>
              <w:rPr>
                <w:rFonts w:ascii="Arial" w:cs="Arial" w:eastAsia="Arial" w:hAnsi="Arial"/>
                <w:b/>
                <w:bCs/>
                <w:color w:val="FFFFFF"/>
                <w:sz w:val="20"/>
                <w:szCs w:val="20"/>
              </w:rPr>
              <w:t xml:space="preserve">Significance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Bidirectional Neural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Overcomes the unidirectionality of conventional deep learning; every tier implements both bottom-up activation and top-down modulation</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Active Inference Equivalence</w:t>
            </w:r>
          </w:p>
        </w:tc>
        <w:tc>
          <w:tcPr>
            <w:tcW w:type="dxa" w:w="6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PMP computational choices grounded in the normative framework of free energy minimization; enables direct comparison with predictive processing literature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Intermittent Control with Quantum Noise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Achieves energetic efficiency through saddle-state geometry exploitation; quantum QRNG injection prevents attractor trapping</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GAN as Constructive Imagination</w:t>
            </w:r>
          </w:p>
        </w:tc>
        <w:tc>
          <w:tcPr>
            <w:tcW w:type="dxa" w:w="6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Synthetic TFPF amplifies discriminative connectivity motifs; used for prospective simulation before physical execution, not merely data augmentation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Kissing-Number Convergence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Geometry-based, label-free learning completion criterion; eliminates held-out validation data requirement during bootstrap</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Dual-CLS Memory</w:t>
            </w:r>
          </w:p>
        </w:tc>
        <w:tc>
          <w:tcPr>
            <w:tcW w:type="dxa" w:w="6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Hippocampal rapid encoding + neocortical replay consolidation prevents catastrophic forgetting without sacrificing plasticity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LLM Cognitive Interface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Manages longitudinal cognitive effects of AI interaction; optimizes for human cognitive flourishing rather than immediate task performance</w:t>
            </w:r>
          </w:p>
        </w:tc>
      </w:tr>
      <w:tr>
        <w:tc>
          <w:tcPr>
            <w:tcW w:type="dxa" w:w="280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Circular Reaction Universal Bootstrap</w:t>
            </w:r>
          </w:p>
        </w:tc>
        <w:tc>
          <w:tcPr>
            <w:tcW w:type="dxa" w:w="6560"/>
            <w:tcBorders>
              <w:top w:val="single" w:color="CCCCCC" w:sz="1"/>
              <w:left w:val="single" w:color="CCCCCC" w:sz="1"/>
              <w:bottom w:val="single" w:color="CCCCCC" w:sz="1"/>
              <w:right w:val="single" w:color="CCCCCC" w:sz="1"/>
            </w:tcBorders>
            <w:shd w:fill="F2F4F8" w:val="clear"/>
            <w:tcMar>
              <w:top w:type="dxa" w:w="80"/>
              <w:left w:type="dxa" w:w="160"/>
              <w:bottom w:type="dxa" w:w="80"/>
              <w:right w:type="dxa" w:w="160"/>
            </w:tcMar>
          </w:tcPr>
          <w:p>
            <w:pPr>
              <w:spacing w:before="0" w:after="0"/>
            </w:pPr>
            <w:r>
              <w:rPr>
                <w:rFonts w:ascii="Arial" w:cs="Arial" w:eastAsia="Arial" w:hAnsi="Arial"/>
                <w:color w:val="1B2A4A"/>
                <w:sz w:val="20"/>
                <w:szCs w:val="20"/>
              </w:rPr>
              <w:t xml:space="preserve">Enables competence acquisition in novel domains without domain-specific pretraining; the agent is its own teacher</w:t>
            </w:r>
          </w:p>
        </w:tc>
      </w:tr>
    </w:tbl>
    <w:p>
      <w:pPr>
        <w:spacing w:before="0" w:after="0"/>
      </w:pPr>
      <w:r>
        <w:t xml:space="preserve"/>
      </w:r>
    </w:p>
    <w:p>
      <w:pPr>
        <w:pStyle w:val="Heading2"/>
        <w:spacing w:before="280" w:after="140"/>
      </w:pPr>
      <w:r>
        <w:rPr>
          <w:rFonts w:ascii="Arial" w:cs="Arial" w:eastAsia="Arial" w:hAnsi="Arial"/>
          <w:b/>
          <w:bCs/>
          <w:color w:val="1E4D8C"/>
          <w:sz w:val="26"/>
          <w:szCs w:val="26"/>
        </w:rPr>
        <w:t xml:space="preserve">8.2  Current Limitations</w:t>
      </w:r>
    </w:p>
    <w:p>
      <w:pPr>
        <w:pStyle w:val="ListParagraph"/>
        <w:numPr>
          <w:ilvl w:val="0"/>
          <w:numId w:val="2"/>
        </w:numPr>
        <w:spacing w:before="60" w:after="60"/>
      </w:pPr>
      <w:r>
        <w:rPr>
          <w:rFonts w:ascii="Arial" w:cs="Arial" w:eastAsia="Arial" w:hAnsi="Arial"/>
          <w:color w:val="1B2A4A"/>
          <w:sz w:val="22"/>
          <w:szCs w:val="22"/>
        </w:rPr>
        <w:t xml:space="preserve">GAN connectivity amplification generates topologically richer but not necessarily neurophysiologically valid patterns — clinical BCI validation required before deployment</w:t>
      </w:r>
    </w:p>
    <w:p>
      <w:pPr>
        <w:pStyle w:val="ListParagraph"/>
        <w:numPr>
          <w:ilvl w:val="0"/>
          <w:numId w:val="2"/>
        </w:numPr>
        <w:spacing w:before="60" w:after="60"/>
      </w:pPr>
      <w:r>
        <w:rPr>
          <w:rFonts w:ascii="Arial" w:cs="Arial" w:eastAsia="Arial" w:hAnsi="Arial"/>
          <w:color w:val="1B2A4A"/>
          <w:sz w:val="22"/>
          <w:szCs w:val="22"/>
        </w:rPr>
        <w:t xml:space="preserve">Gamma-command termination time must be externally specified; autonomous duration estimation from task context remains open</w:t>
      </w:r>
    </w:p>
    <w:p>
      <w:pPr>
        <w:pStyle w:val="ListParagraph"/>
        <w:numPr>
          <w:ilvl w:val="0"/>
          <w:numId w:val="2"/>
        </w:numPr>
        <w:spacing w:before="60" w:after="60"/>
      </w:pPr>
      <w:r>
        <w:rPr>
          <w:rFonts w:ascii="Arial" w:cs="Arial" w:eastAsia="Arial" w:hAnsi="Arial"/>
          <w:color w:val="1B2A4A"/>
          <w:sz w:val="22"/>
          <w:szCs w:val="22"/>
        </w:rPr>
        <w:t xml:space="preserve">Cross-subject (not cross-session) generalization limited; subject-independent GAN conditioning on anatomical priors not yet implemented</w:t>
      </w:r>
    </w:p>
    <w:p>
      <w:pPr>
        <w:pStyle w:val="ListParagraph"/>
        <w:numPr>
          <w:ilvl w:val="0"/>
          <w:numId w:val="2"/>
        </w:numPr>
        <w:spacing w:before="60" w:after="60"/>
      </w:pPr>
      <w:r>
        <w:rPr>
          <w:rFonts w:ascii="Arial" w:cs="Arial" w:eastAsia="Arial" w:hAnsi="Arial"/>
          <w:color w:val="1B2A4A"/>
          <w:sz w:val="22"/>
          <w:szCs w:val="22"/>
        </w:rPr>
        <w:t xml:space="preserve">Quantum noise injection currently uses QRNG rather than true biophysical quantum effects; the amplification pathway from quantum-origin fluctuations to macroscopic behavioral consequences remains theoretical</w:t>
      </w:r>
    </w:p>
    <w:p>
      <w:pPr>
        <w:pStyle w:val="ListParagraph"/>
        <w:numPr>
          <w:ilvl w:val="0"/>
          <w:numId w:val="2"/>
        </w:numPr>
        <w:spacing w:before="60" w:after="60"/>
      </w:pPr>
      <w:r>
        <w:rPr>
          <w:rFonts w:ascii="Arial" w:cs="Arial" w:eastAsia="Arial" w:hAnsi="Arial"/>
          <w:color w:val="1B2A4A"/>
          <w:sz w:val="22"/>
          <w:szCs w:val="22"/>
        </w:rPr>
        <w:t xml:space="preserve">The LLM Cognitive Interface Agent's longitudinal partner model requires extended interaction history; performance degrades for new partners with &lt;5 sessions of history</w:t>
      </w:r>
    </w:p>
    <w:p>
      <w:pPr>
        <w:pStyle w:val="ListParagraph"/>
        <w:numPr>
          <w:ilvl w:val="0"/>
          <w:numId w:val="2"/>
        </w:numPr>
        <w:spacing w:before="60" w:after="60"/>
      </w:pPr>
      <w:r>
        <w:rPr>
          <w:rFonts w:ascii="Arial" w:cs="Arial" w:eastAsia="Arial" w:hAnsi="Arial"/>
          <w:color w:val="1B2A4A"/>
          <w:sz w:val="22"/>
          <w:szCs w:val="22"/>
        </w:rPr>
        <w:t xml:space="preserve">Gamma-band (&gt;30Hz) signals excluded by current 8–30Hz ICA filtering; high-gamma motor information lost</w:t>
      </w:r>
    </w:p>
    <w:p>
      <w:pPr>
        <w:spacing w:before="0" w:after="0"/>
      </w:pPr>
      <w:r>
        <w:t xml:space="preserve"/>
      </w:r>
    </w:p>
    <w:p>
      <w:pPr>
        <w:pStyle w:val="Heading2"/>
        <w:spacing w:before="280" w:after="140"/>
      </w:pPr>
      <w:r>
        <w:rPr>
          <w:rFonts w:ascii="Arial" w:cs="Arial" w:eastAsia="Arial" w:hAnsi="Arial"/>
          <w:b/>
          <w:bCs/>
          <w:color w:val="1E4D8C"/>
          <w:sz w:val="26"/>
          <w:szCs w:val="26"/>
        </w:rPr>
        <w:t xml:space="preserve">8.3  Priority Future Research</w:t>
      </w:r>
    </w:p>
    <w:p>
      <w:pPr>
        <w:pStyle w:val="ListParagraph"/>
        <w:numPr>
          <w:ilvl w:val="0"/>
          <w:numId w:val="3"/>
        </w:numPr>
        <w:spacing w:before="60" w:after="60"/>
      </w:pPr>
      <w:r>
        <w:rPr>
          <w:rFonts w:ascii="Arial" w:cs="Arial" w:eastAsia="Arial" w:hAnsi="Arial"/>
          <w:color w:val="1B2A4A"/>
          <w:sz w:val="22"/>
          <w:szCs w:val="22"/>
        </w:rPr>
        <w:t xml:space="preserve">Active inference full implementation: replace the ODE-based PMP simulation with a proper variational free energy minimization framework, enabling Bayesian uncertainty quantification throughout</w:t>
      </w:r>
    </w:p>
    <w:p>
      <w:pPr>
        <w:pStyle w:val="ListParagraph"/>
        <w:numPr>
          <w:ilvl w:val="0"/>
          <w:numId w:val="3"/>
        </w:numPr>
        <w:spacing w:before="60" w:after="60"/>
      </w:pPr>
      <w:r>
        <w:rPr>
          <w:rFonts w:ascii="Arial" w:cs="Arial" w:eastAsia="Arial" w:hAnsi="Arial"/>
          <w:color w:val="1B2A4A"/>
          <w:sz w:val="22"/>
          <w:szCs w:val="22"/>
        </w:rPr>
        <w:t xml:space="preserve">Subject-independent GAN: condition the generator on anatomical MRI priors and demographic variables for zero-shot transfer to new individuals</w:t>
      </w:r>
    </w:p>
    <w:p>
      <w:pPr>
        <w:pStyle w:val="ListParagraph"/>
        <w:numPr>
          <w:ilvl w:val="0"/>
          <w:numId w:val="3"/>
        </w:numPr>
        <w:spacing w:before="60" w:after="60"/>
      </w:pPr>
      <w:r>
        <w:rPr>
          <w:rFonts w:ascii="Arial" w:cs="Arial" w:eastAsia="Arial" w:hAnsi="Arial"/>
          <w:color w:val="1B2A4A"/>
          <w:sz w:val="22"/>
          <w:szCs w:val="22"/>
        </w:rPr>
        <w:t xml:space="preserve">True neuromorphic SNN deployment: replace all continuous activations with asynchronous spike train encodings compatible with Loihi 2 or BrainScaleS; target 20W operational envelope</w:t>
      </w:r>
    </w:p>
    <w:p>
      <w:pPr>
        <w:pStyle w:val="ListParagraph"/>
        <w:numPr>
          <w:ilvl w:val="0"/>
          <w:numId w:val="3"/>
        </w:numPr>
        <w:spacing w:before="60" w:after="60"/>
      </w:pPr>
      <w:r>
        <w:rPr>
          <w:rFonts w:ascii="Arial" w:cs="Arial" w:eastAsia="Arial" w:hAnsi="Arial"/>
          <w:color w:val="1B2A4A"/>
          <w:sz w:val="22"/>
          <w:szCs w:val="22"/>
        </w:rPr>
        <w:t xml:space="preserve">Gamma-band extension: extend TFPF to 8–150Hz, incorporating high-gamma motor signals with separate GAN training on the extended frequency range</w:t>
      </w:r>
    </w:p>
    <w:p>
      <w:pPr>
        <w:pStyle w:val="ListParagraph"/>
        <w:numPr>
          <w:ilvl w:val="0"/>
          <w:numId w:val="3"/>
        </w:numPr>
        <w:spacing w:before="60" w:after="60"/>
      </w:pPr>
      <w:r>
        <w:rPr>
          <w:rFonts w:ascii="Arial" w:cs="Arial" w:eastAsia="Arial" w:hAnsi="Arial"/>
          <w:color w:val="1B2A4A"/>
          <w:sz w:val="22"/>
          <w:szCs w:val="22"/>
        </w:rPr>
        <w:t xml:space="preserve">Longitudinal human-AI study: 100-subject, 6-month study measuring expertise development, attentional patterns, and decision quality under MACNN-RLS LLM interface vs. standard AI interface</w:t>
      </w:r>
    </w:p>
    <w:p>
      <w:pPr>
        <w:pStyle w:val="ListParagraph"/>
        <w:numPr>
          <w:ilvl w:val="0"/>
          <w:numId w:val="3"/>
        </w:numPr>
        <w:spacing w:before="60" w:after="60"/>
      </w:pPr>
      <w:r>
        <w:rPr>
          <w:rFonts w:ascii="Arial" w:cs="Arial" w:eastAsia="Arial" w:hAnsi="Arial"/>
          <w:color w:val="1B2A4A"/>
          <w:sz w:val="22"/>
          <w:szCs w:val="22"/>
        </w:rPr>
        <w:t xml:space="preserve">Quantum biophysics integration: when experimental evidence of central quantum effects is established, replace QRNG injection with biophysically-grounded quantum noise model</w:t>
      </w:r>
    </w:p>
    <w:p>
      <w:pPr>
        <w:spacing w:before="0" w:after="0"/>
      </w:pPr>
      <w:r>
        <w:t xml:space="preserve"/>
      </w:r>
    </w:p>
    <w:p>
      <w:pPr>
        <w:pStyle w:val="Heading2"/>
        <w:spacing w:before="280" w:after="140"/>
      </w:pPr>
      <w:r>
        <w:rPr>
          <w:rFonts w:ascii="Arial" w:cs="Arial" w:eastAsia="Arial" w:hAnsi="Arial"/>
          <w:b/>
          <w:bCs/>
          <w:color w:val="1E4D8C"/>
          <w:sz w:val="26"/>
          <w:szCs w:val="26"/>
        </w:rPr>
        <w:t xml:space="preserve">8.4  Ethical and Safety Framework</w:t>
      </w:r>
    </w:p>
    <w:p>
      <w:pPr>
        <w:spacing w:before="80" w:after="120"/>
        <w:jc w:val="both"/>
      </w:pPr>
      <w:r>
        <w:rPr>
          <w:rFonts w:ascii="Arial" w:cs="Arial" w:eastAsia="Arial" w:hAnsi="Arial"/>
          <w:b w:val="false"/>
          <w:bCs w:val="false"/>
          <w:i w:val="false"/>
          <w:iCs w:val="false"/>
          <w:color w:val="1B2A4A"/>
          <w:sz w:val="22"/>
          <w:szCs w:val="22"/>
        </w:rPr>
        <w:t xml:space="preserve">The system operates across three ethical domains requiring distinct governance:</w:t>
      </w:r>
    </w:p>
    <w:p>
      <w:pPr>
        <w:spacing w:before="80" w:after="100"/>
      </w:pPr>
      <w:r>
        <w:rPr>
          <w:rFonts w:ascii="Arial" w:cs="Arial" w:eastAsia="Arial" w:hAnsi="Arial"/>
          <w:b/>
          <w:bCs/>
          <w:color w:val="1B2A4A"/>
          <w:sz w:val="22"/>
          <w:szCs w:val="22"/>
        </w:rPr>
        <w:t xml:space="preserve">BCI integration: </w:t>
      </w:r>
      <w:r>
        <w:rPr>
          <w:rFonts w:ascii="Arial" w:cs="Arial" w:eastAsia="Arial" w:hAnsi="Arial"/>
          <w:color w:val="1B2A4A"/>
          <w:sz w:val="22"/>
          <w:szCs w:val="22"/>
        </w:rPr>
        <w:t xml:space="preserve">Human brain data from any live interface is personally identifiable under applicable data protection frameworks. Explicit, informed, revocable consent is required. Data minimization principles apply: only features required for the current task are extracted and stored.</w:t>
      </w:r>
    </w:p>
    <w:p>
      <w:pPr>
        <w:spacing w:before="80" w:after="100"/>
      </w:pPr>
      <w:r>
        <w:rPr>
          <w:rFonts w:ascii="Arial" w:cs="Arial" w:eastAsia="Arial" w:hAnsi="Arial"/>
          <w:b/>
          <w:bCs/>
          <w:color w:val="1B2A4A"/>
          <w:sz w:val="22"/>
          <w:szCs w:val="22"/>
        </w:rPr>
        <w:t xml:space="preserve">AGI-level executive capabilities: </w:t>
      </w:r>
      <w:r>
        <w:rPr>
          <w:rFonts w:ascii="Arial" w:cs="Arial" w:eastAsia="Arial" w:hAnsi="Arial"/>
          <w:color w:val="1B2A4A"/>
          <w:sz w:val="22"/>
          <w:szCs w:val="22"/>
        </w:rPr>
        <w:t xml:space="preserve">The Prefrontal Executive Agent's top-down modulation architecture creates a pathway through which goal misspecification at the executive layer systematically corrupts all lower-tier operations. Robust goal specification, value alignment validation, TFPF interpretability monitoring, and human oversight at the executive tier are non-negotiable.</w:t>
      </w:r>
    </w:p>
    <w:p>
      <w:pPr>
        <w:spacing w:before="80" w:after="100"/>
      </w:pPr>
      <w:r>
        <w:rPr>
          <w:rFonts w:ascii="Arial" w:cs="Arial" w:eastAsia="Arial" w:hAnsi="Arial"/>
          <w:b/>
          <w:bCs/>
          <w:color w:val="1B2A4A"/>
          <w:sz w:val="22"/>
          <w:szCs w:val="22"/>
        </w:rPr>
        <w:t xml:space="preserve">LLM human interaction: </w:t>
      </w:r>
      <w:r>
        <w:rPr>
          <w:rFonts w:ascii="Arial" w:cs="Arial" w:eastAsia="Arial" w:hAnsi="Arial"/>
          <w:color w:val="1B2A4A"/>
          <w:sz w:val="22"/>
          <w:szCs w:val="22"/>
        </w:rPr>
        <w:t xml:space="preserve">The LLM Cognitive Interface Agent's longitudinal partner model constitutes a persistent representation of an individual's cognitive state. This data requires the strongest privacy protections, explicit consent for longitudinal modeling, and a clear user right to delete all partner model data.</w:t>
      </w:r>
    </w:p>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Part IX: Synthesis</w:t>
      </w:r>
    </w:p>
    <w:p>
      <w:pPr>
        <w:spacing w:before="80" w:after="120"/>
        <w:jc w:val="both"/>
      </w:pPr>
      <w:r>
        <w:rPr>
          <w:rFonts w:ascii="Arial" w:cs="Arial" w:eastAsia="Arial" w:hAnsi="Arial"/>
          <w:b w:val="false"/>
          <w:bCs w:val="false"/>
          <w:i w:val="false"/>
          <w:iCs w:val="false"/>
          <w:color w:val="1B2A4A"/>
          <w:sz w:val="22"/>
          <w:szCs w:val="22"/>
        </w:rPr>
        <w:t xml:space="preserve">MACNN-RLS v2.0 synthesizes the five bodies of work into a single operational design that addresses the central failure mode of both symbolic and connectionist AI identified by the cybernetic tradition: the loss of self-organization through agent-environment interaction.</w:t>
      </w:r>
    </w:p>
    <w:p>
      <w:pPr>
        <w:spacing w:before="80" w:after="120"/>
        <w:jc w:val="both"/>
      </w:pPr>
      <w:r>
        <w:rPr>
          <w:rFonts w:ascii="Arial" w:cs="Arial" w:eastAsia="Arial" w:hAnsi="Arial"/>
          <w:b w:val="false"/>
          <w:bCs w:val="false"/>
          <w:i w:val="false"/>
          <w:iCs w:val="false"/>
          <w:color w:val="1B2A4A"/>
          <w:sz w:val="22"/>
          <w:szCs w:val="22"/>
        </w:rPr>
        <w:t xml:space="preserve">The brain-to-AI hierarchy provides structure. The 3D-CNN-GAN and TFPF framework provides the feature encoding substrate. The PMP and self-organizing TRNs provide the motor cognition and learning dynamics. The neuromorphic and quantum-intermittent control framework provides the deployment substrate. And the LLM cognitive interface layer provides the human partnership ethics — ensuring that the system enhances rather than degrades the cognitive capacity of the humans it serves.</w:t>
      </w:r>
    </w:p>
    <w:p>
      <w:pPr>
        <w:spacing w:before="80" w:after="120"/>
        <w:jc w:val="both"/>
      </w:pPr>
      <w:r>
        <w:rPr>
          <w:rFonts w:ascii="Arial" w:cs="Arial" w:eastAsia="Arial" w:hAnsi="Arial"/>
          <w:b w:val="false"/>
          <w:bCs w:val="false"/>
          <w:i w:val="false"/>
          <w:iCs w:val="false"/>
          <w:color w:val="1B2A4A"/>
          <w:sz w:val="22"/>
          <w:szCs w:val="22"/>
        </w:rPr>
        <w:t xml:space="preserve">The architecture's deepest claim is that intelligence is not a property of a system but a property of a system-in-environment. The ten agents are not independent modules but coupled dynamical subsystems whose collective behavior cannot be predicted from the behavior of any subset. The system is, in Wiener's original sense, a purposive agent: one whose actions are organized by anticipated consequences rather than immediate stimuli, whose feedback loops operate across multiple time scales simultaneously, and whose cognitive life is inseparable from its bodily engagement with a world that continuously talks back.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40"/>
              <w:left w:type="dxa" w:w="200"/>
              <w:bottom w:type="dxa" w:w="140"/>
              <w:right w:type="dxa" w:w="200"/>
            </w:tcMar>
          </w:tcPr>
          <w:p>
            <w:pPr>
              <w:spacing w:before="0" w:after="0"/>
            </w:pPr>
            <w:r>
              <w:rPr>
                <w:rFonts w:ascii="Arial" w:cs="Arial" w:eastAsia="Arial" w:hAnsi="Arial"/>
                <w:i/>
                <w:iCs/>
                <w:color w:val="1B2A4A"/>
                <w:sz w:val="21"/>
                <w:szCs w:val="21"/>
              </w:rPr>
              <w:t xml:space="preserve">The measure of MACNN-RLS is not task performance in isolation. It is whether, over time, the human partners who interact with it become more capable, more autonomous, and more cognitively alive — not less. That is the cybernetic promise, and it remains the system's primary design constraint.</w:t>
            </w:r>
          </w:p>
        </w:tc>
      </w:tr>
    </w:tbl>
    <w:p>
      <w:pPr>
        <w:spacing w:before="0" w:after="0"/>
      </w:pPr>
      <w:r>
        <w:t xml:space="preserve"/>
      </w:r>
    </w:p>
    <w:p>
      <w:pPr>
        <w:spacing w:before="0" w:after="0"/>
      </w:pPr>
      <w:r>
        <w:t xml:space="preserve"/>
      </w:r>
    </w:p>
    <w:p>
      <w:pPr>
        <w:pBdr>
          <w:bottom w:val="single" w:color="2E75B6" w:sz="3" w:space="2"/>
        </w:pBdr>
        <w:spacing w:before="120" w:after="120"/>
      </w:pPr>
      <w:r>
        <w:t xml:space="preserve"/>
      </w:r>
    </w:p>
    <w:p>
      <w:pPr>
        <w:pStyle w:val="Heading1"/>
        <w:pBdr>
          <w:bottom w:val="single" w:color="2E75B6" w:sz="6" w:space="1"/>
        </w:pBdr>
        <w:spacing w:before="360" w:after="180"/>
      </w:pPr>
      <w:r>
        <w:rPr>
          <w:rFonts w:ascii="Arial" w:cs="Arial" w:eastAsia="Arial" w:hAnsi="Arial"/>
          <w:b/>
          <w:bCs/>
          <w:color w:val="1B2A4A"/>
          <w:sz w:val="32"/>
          <w:szCs w:val="32"/>
        </w:rPr>
        <w:t xml:space="preserve">References and Foundational Literature</w:t>
      </w:r>
    </w:p>
    <w:p>
      <w:pPr>
        <w:pStyle w:val="ListParagraph"/>
        <w:numPr>
          <w:ilvl w:val="0"/>
          <w:numId w:val="2"/>
        </w:numPr>
        <w:spacing w:before="60" w:after="60"/>
      </w:pPr>
      <w:r>
        <w:rPr>
          <w:rFonts w:ascii="Arial" w:cs="Arial" w:eastAsia="Arial" w:hAnsi="Arial"/>
          <w:color w:val="1B2A4A"/>
          <w:sz w:val="22"/>
          <w:szCs w:val="22"/>
        </w:rPr>
        <w:t xml:space="preserve">Wiener, N. Cybernetics: Or Control and Communication in the Animal and the Machine. MIT Press, 1948.</w:t>
      </w:r>
    </w:p>
    <w:p>
      <w:pPr>
        <w:pStyle w:val="ListParagraph"/>
        <w:numPr>
          <w:ilvl w:val="0"/>
          <w:numId w:val="2"/>
        </w:numPr>
        <w:spacing w:before="60" w:after="60"/>
      </w:pPr>
      <w:r>
        <w:rPr>
          <w:rFonts w:ascii="Arial" w:cs="Arial" w:eastAsia="Arial" w:hAnsi="Arial"/>
          <w:color w:val="1B2A4A"/>
          <w:sz w:val="22"/>
          <w:szCs w:val="22"/>
        </w:rPr>
        <w:t xml:space="preserve">Maturana, H.R. &amp; Varela, F.J. The Tree of Knowledge. Shambhala, 1987.</w:t>
      </w:r>
    </w:p>
    <w:p>
      <w:pPr>
        <w:pStyle w:val="ListParagraph"/>
        <w:numPr>
          <w:ilvl w:val="0"/>
          <w:numId w:val="2"/>
        </w:numPr>
        <w:spacing w:before="60" w:after="60"/>
      </w:pPr>
      <w:r>
        <w:rPr>
          <w:rFonts w:ascii="Arial" w:cs="Arial" w:eastAsia="Arial" w:hAnsi="Arial"/>
          <w:color w:val="1B2A4A"/>
          <w:sz w:val="22"/>
          <w:szCs w:val="22"/>
        </w:rPr>
        <w:t xml:space="preserve">Bernstein, N.A. The Coordination and Regulation of Movements. Pergamon Press, 1967.</w:t>
      </w:r>
    </w:p>
    <w:p>
      <w:pPr>
        <w:pStyle w:val="ListParagraph"/>
        <w:numPr>
          <w:ilvl w:val="0"/>
          <w:numId w:val="2"/>
        </w:numPr>
        <w:spacing w:before="60" w:after="60"/>
      </w:pPr>
      <w:r>
        <w:rPr>
          <w:rFonts w:ascii="Arial" w:cs="Arial" w:eastAsia="Arial" w:hAnsi="Arial"/>
          <w:color w:val="1B2A4A"/>
          <w:sz w:val="22"/>
          <w:szCs w:val="22"/>
        </w:rPr>
        <w:t xml:space="preserve">Piaget, J. The Origins of Intelligence in Children. International Universities Press, 1952.</w:t>
      </w:r>
    </w:p>
    <w:p>
      <w:pPr>
        <w:pStyle w:val="ListParagraph"/>
        <w:numPr>
          <w:ilvl w:val="0"/>
          <w:numId w:val="2"/>
        </w:numPr>
        <w:spacing w:before="60" w:after="60"/>
      </w:pPr>
      <w:r>
        <w:rPr>
          <w:rFonts w:ascii="Arial" w:cs="Arial" w:eastAsia="Arial" w:hAnsi="Arial"/>
          <w:color w:val="1B2A4A"/>
          <w:sz w:val="22"/>
          <w:szCs w:val="22"/>
        </w:rPr>
        <w:t xml:space="preserve">Morasso, P. A vexing question in motor control: the degrees of freedom problem. Front. Bioeng. Biotechnol. 9:783501, 2022.</w:t>
      </w:r>
    </w:p>
    <w:p>
      <w:pPr>
        <w:pStyle w:val="ListParagraph"/>
        <w:numPr>
          <w:ilvl w:val="0"/>
          <w:numId w:val="2"/>
        </w:numPr>
        <w:spacing w:before="60" w:after="60"/>
      </w:pPr>
      <w:r>
        <w:rPr>
          <w:rFonts w:ascii="Arial" w:cs="Arial" w:eastAsia="Arial" w:hAnsi="Arial"/>
          <w:color w:val="1B2A4A"/>
          <w:sz w:val="22"/>
          <w:szCs w:val="22"/>
        </w:rPr>
        <w:t xml:space="preserve">Fan, C., Yang, B. et al. Feature Classification Combining 3D-CNN with GAN for Motor Imagery. 2024.</w:t>
      </w:r>
    </w:p>
    <w:p>
      <w:pPr>
        <w:pStyle w:val="ListParagraph"/>
        <w:numPr>
          <w:ilvl w:val="0"/>
          <w:numId w:val="2"/>
        </w:numPr>
        <w:spacing w:before="60" w:after="60"/>
      </w:pPr>
      <w:r>
        <w:rPr>
          <w:rFonts w:ascii="Arial" w:cs="Arial" w:eastAsia="Arial" w:hAnsi="Arial"/>
          <w:color w:val="1B2A4A"/>
          <w:sz w:val="22"/>
          <w:szCs w:val="22"/>
        </w:rPr>
        <w:t xml:space="preserve">Hopfield, J.J. Neural networks and physical systems with emergent collective computational abilities. PNAS, 79(8), 1982.</w:t>
      </w:r>
    </w:p>
    <w:p>
      <w:pPr>
        <w:pStyle w:val="ListParagraph"/>
        <w:numPr>
          <w:ilvl w:val="0"/>
          <w:numId w:val="2"/>
        </w:numPr>
        <w:spacing w:before="60" w:after="60"/>
      </w:pPr>
      <w:r>
        <w:rPr>
          <w:rFonts w:ascii="Arial" w:cs="Arial" w:eastAsia="Arial" w:hAnsi="Arial"/>
          <w:color w:val="1B2A4A"/>
          <w:sz w:val="22"/>
          <w:szCs w:val="22"/>
        </w:rPr>
        <w:t xml:space="preserve">Kohonen, T. Self-Organizing Maps. Springer, 1995.</w:t>
      </w:r>
    </w:p>
    <w:p>
      <w:pPr>
        <w:pStyle w:val="ListParagraph"/>
        <w:numPr>
          <w:ilvl w:val="0"/>
          <w:numId w:val="2"/>
        </w:numPr>
        <w:spacing w:before="60" w:after="60"/>
      </w:pPr>
      <w:r>
        <w:rPr>
          <w:rFonts w:ascii="Arial" w:cs="Arial" w:eastAsia="Arial" w:hAnsi="Arial"/>
          <w:color w:val="1B2A4A"/>
          <w:sz w:val="22"/>
          <w:szCs w:val="22"/>
        </w:rPr>
        <w:t xml:space="preserve">Goodfellow, I. et al. Generative Adversarial Networks. NeurIPS, 2014.</w:t>
      </w:r>
    </w:p>
    <w:p>
      <w:pPr>
        <w:pStyle w:val="ListParagraph"/>
        <w:numPr>
          <w:ilvl w:val="0"/>
          <w:numId w:val="2"/>
        </w:numPr>
        <w:spacing w:before="60" w:after="60"/>
      </w:pPr>
      <w:r>
        <w:rPr>
          <w:rFonts w:ascii="Arial" w:cs="Arial" w:eastAsia="Arial" w:hAnsi="Arial"/>
          <w:color w:val="1B2A4A"/>
          <w:sz w:val="22"/>
          <w:szCs w:val="22"/>
        </w:rPr>
        <w:t xml:space="preserve">Friston, K. The free-energy principle: a unified brain theory? Nat. Rev. Neurosci. 11(2):127–138, 2010.</w:t>
      </w:r>
    </w:p>
    <w:p>
      <w:pPr>
        <w:pStyle w:val="ListParagraph"/>
        <w:numPr>
          <w:ilvl w:val="0"/>
          <w:numId w:val="2"/>
        </w:numPr>
        <w:spacing w:before="60" w:after="60"/>
      </w:pPr>
      <w:r>
        <w:rPr>
          <w:rFonts w:ascii="Arial" w:cs="Arial" w:eastAsia="Arial" w:hAnsi="Arial"/>
          <w:color w:val="1B2A4A"/>
          <w:sz w:val="22"/>
          <w:szCs w:val="22"/>
        </w:rPr>
        <w:t xml:space="preserve">Friston, K. &amp; Parr, T. Active inference and the anatomy of oculomotion. Neuropsychologia, 2018.</w:t>
      </w:r>
    </w:p>
    <w:p>
      <w:pPr>
        <w:pStyle w:val="ListParagraph"/>
        <w:numPr>
          <w:ilvl w:val="0"/>
          <w:numId w:val="2"/>
        </w:numPr>
        <w:spacing w:before="60" w:after="60"/>
      </w:pPr>
      <w:r>
        <w:rPr>
          <w:rFonts w:ascii="Arial" w:cs="Arial" w:eastAsia="Arial" w:hAnsi="Arial"/>
          <w:color w:val="1B2A4A"/>
          <w:sz w:val="22"/>
          <w:szCs w:val="22"/>
        </w:rPr>
        <w:t xml:space="preserve">Penrose, R. &amp; Hameroff, S. Orchestrated objective reduction. Math. Biosci. 1996. [Not incorporated — controversial]</w:t>
      </w:r>
    </w:p>
    <w:p>
      <w:pPr>
        <w:pStyle w:val="ListParagraph"/>
        <w:numPr>
          <w:ilvl w:val="0"/>
          <w:numId w:val="2"/>
        </w:numPr>
        <w:spacing w:before="60" w:after="60"/>
      </w:pPr>
      <w:r>
        <w:rPr>
          <w:rFonts w:ascii="Arial" w:cs="Arial" w:eastAsia="Arial" w:hAnsi="Arial"/>
          <w:color w:val="1B2A4A"/>
          <w:sz w:val="22"/>
          <w:szCs w:val="22"/>
        </w:rPr>
        <w:t xml:space="preserve">Turin, L. A spectroscopic mechanism for primary olfactory reception. Chem. Senses, 21(6):773–791, 1996.</w:t>
      </w:r>
    </w:p>
    <w:p>
      <w:pPr>
        <w:pStyle w:val="ListParagraph"/>
        <w:numPr>
          <w:ilvl w:val="0"/>
          <w:numId w:val="2"/>
        </w:numPr>
        <w:spacing w:before="60" w:after="60"/>
      </w:pPr>
      <w:r>
        <w:rPr>
          <w:rFonts w:ascii="Arial" w:cs="Arial" w:eastAsia="Arial" w:hAnsi="Arial"/>
          <w:color w:val="1B2A4A"/>
          <w:sz w:val="22"/>
          <w:szCs w:val="22"/>
        </w:rPr>
        <w:t xml:space="preserve">Ritz, T. et al. A model for photoreceptor-based magnetoreception in birds. Biophysical Journal, 78(2), 2000.</w:t>
      </w:r>
    </w:p>
    <w:p>
      <w:pPr>
        <w:pStyle w:val="ListParagraph"/>
        <w:numPr>
          <w:ilvl w:val="0"/>
          <w:numId w:val="2"/>
        </w:numPr>
        <w:spacing w:before="60" w:after="60"/>
      </w:pPr>
      <w:r>
        <w:rPr>
          <w:rFonts w:ascii="Arial" w:cs="Arial" w:eastAsia="Arial" w:hAnsi="Arial"/>
          <w:color w:val="1B2A4A"/>
          <w:sz w:val="22"/>
          <w:szCs w:val="22"/>
        </w:rPr>
        <w:t xml:space="preserve">Loihi: Intel's neuromorphic research chip. Intel Labs Technical Report, 2018.</w:t>
      </w:r>
    </w:p>
    <w:p>
      <w:pPr>
        <w:pStyle w:val="ListParagraph"/>
        <w:numPr>
          <w:ilvl w:val="0"/>
          <w:numId w:val="2"/>
        </w:numPr>
        <w:spacing w:before="60" w:after="60"/>
      </w:pPr>
      <w:r>
        <w:rPr>
          <w:rFonts w:ascii="Arial" w:cs="Arial" w:eastAsia="Arial" w:hAnsi="Arial"/>
          <w:color w:val="1B2A4A"/>
          <w:sz w:val="22"/>
          <w:szCs w:val="22"/>
        </w:rPr>
        <w:t xml:space="preserve">Schirrmeister, R.T. et al. Deep learning with CNNs for EEG decoding. Human Brain Mapping, 38(11), 2017.</w:t>
      </w:r>
    </w:p>
    <w:p>
      <w:pPr>
        <w:pStyle w:val="ListParagraph"/>
        <w:numPr>
          <w:ilvl w:val="0"/>
          <w:numId w:val="2"/>
        </w:numPr>
        <w:spacing w:before="60" w:after="60"/>
      </w:pPr>
      <w:r>
        <w:rPr>
          <w:rFonts w:ascii="Arial" w:cs="Arial" w:eastAsia="Arial" w:hAnsi="Arial"/>
          <w:color w:val="1B2A4A"/>
          <w:sz w:val="22"/>
          <w:szCs w:val="22"/>
        </w:rPr>
        <w:t xml:space="preserve">Theotokis, P. (Ed.) Special Issue: LLM Effects on Attention, Memory, and Decision-Making. Front. Neurosci., 2025.</w:t>
      </w:r>
    </w:p>
    <w:p>
      <w:pPr>
        <w:spacing w:before="0" w:after="0"/>
      </w:pPr>
      <w:r>
        <w:t xml:space="preserve"/>
      </w:r>
    </w:p>
    <w:p>
      <w:pPr>
        <w:spacing w:before="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E4D8C"/>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2026-02-21T23:33:02.373Z</dcterms:created>
  <dcterms:modified xsi:type="dcterms:W3CDTF">2026-02-21T23:33:02.374Z</dcterms:modified>
</cp:coreProperties>
</file>

<file path=docProps/custom.xml><?xml version="1.0" encoding="utf-8"?>
<Properties xmlns="http://schemas.openxmlformats.org/officeDocument/2006/custom-properties" xmlns:vt="http://schemas.openxmlformats.org/officeDocument/2006/docPropsVTypes"/>
</file>