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1B2A4A"/>
          <w:sz w:val="80"/>
          <w:szCs w:val="80"/>
        </w:rPr>
        <w:t xml:space="preserve">MACNN-RLS  v3.0</w:t>
      </w:r>
    </w:p>
    <w:p>
      <w:pPr>
        <w:spacing w:before="0" w:after="40"/>
        <w:jc w:val="center"/>
      </w:pPr>
      <w:r>
        <w:rPr>
          <w:rFonts w:ascii="Arial" w:cs="Arial" w:eastAsia="Arial" w:hAnsi="Arial"/>
          <w:b/>
          <w:bCs/>
          <w:color w:val="1E4D8C"/>
          <w:sz w:val="42"/>
          <w:szCs w:val="42"/>
        </w:rPr>
        <w:t xml:space="preserve">Multi-Agent Cognitive Neural Network</w:t>
      </w:r>
    </w:p>
    <w:p>
      <w:pPr>
        <w:spacing w:before="0" w:after="200"/>
        <w:jc w:val="center"/>
      </w:pPr>
      <w:r>
        <w:rPr>
          <w:rFonts w:ascii="Arial" w:cs="Arial" w:eastAsia="Arial" w:hAnsi="Arial"/>
          <w:b/>
          <w:bCs/>
          <w:color w:val="1E4D8C"/>
          <w:sz w:val="34"/>
          <w:szCs w:val="34"/>
        </w:rPr>
        <w:t xml:space="preserve">Reasoning · Learning · Problem-Solving · Communication</w:t>
      </w:r>
    </w:p>
    <w:p>
      <w:pPr>
        <w:pBdr>
          <w:bottom w:val="single" w:color="C9A84C" w:sz="8"/>
        </w:pBdr>
        <w:spacing w:before="0" w:after="200"/>
        <w:jc w:val="center"/>
      </w:pPr>
      <w:r>
        <w:t xml:space="preserve"/>
      </w:r>
    </w:p>
    <w:p>
      <w:pPr>
        <w:spacing w:before="0" w:after="40"/>
        <w:jc w:val="center"/>
      </w:pPr>
      <w:r>
        <w:rPr>
          <w:rFonts w:ascii="Arial" w:cs="Arial" w:eastAsia="Arial" w:hAnsi="Arial"/>
          <w:i/>
          <w:iCs/>
          <w:color w:val="4A5568"/>
          <w:sz w:val="22"/>
          <w:szCs w:val="22"/>
        </w:rPr>
        <w:t xml:space="preserve">Cybernetics · PMP · 3D-CNN-GAN · TRNs · Neuromorphic &amp; Quantum Substrate</w:t>
      </w:r>
    </w:p>
    <w:p>
      <w:pPr>
        <w:spacing w:before="0" w:after="40"/>
        <w:jc w:val="center"/>
      </w:pPr>
      <w:r>
        <w:rPr>
          <w:rFonts w:ascii="Arial" w:cs="Arial" w:eastAsia="Arial" w:hAnsi="Arial"/>
          <w:i/>
          <w:iCs/>
          <w:color w:val="4A5568"/>
          <w:sz w:val="22"/>
          <w:szCs w:val="22"/>
        </w:rPr>
        <w:t xml:space="preserve">Active Inference · Intermittent Control · LLM Cognitive Interface</w:t>
      </w:r>
    </w:p>
    <w:p>
      <w:pPr>
        <w:spacing w:before="0" w:after="360"/>
        <w:jc w:val="center"/>
      </w:pPr>
      <w:r>
        <w:rPr>
          <w:rFonts w:ascii="Arial" w:cs="Arial" w:eastAsia="Arial" w:hAnsi="Arial"/>
          <w:i/>
          <w:iCs/>
          <w:color w:val="4A5568"/>
          <w:sz w:val="22"/>
          <w:szCs w:val="22"/>
        </w:rPr>
        <w:t xml:space="preserve">Multimodal Metaphor Processing · Neural Differentiation · Neuroplastic Compensation</w:t>
      </w:r>
    </w:p>
    <w:p>
      <w:pPr>
        <w:spacing w:before="0" w:after="0"/>
      </w:pPr>
      <w:r>
        <w:t xml:space="preserve"/>
      </w:r>
    </w:p>
    <w:p>
      <w:pPr>
        <w:spacing w:before="0" w:after="0"/>
      </w:pPr>
      <w:r>
        <w:t xml:space="preserve"/>
      </w:r>
    </w:p>
    <w:p>
      <w:pPr>
        <w:spacing w:before="0" w:after="0"/>
        <w:jc w:val="center"/>
      </w:pPr>
      <w:r>
        <w:rPr>
          <w:rFonts w:ascii="Arial" w:cs="Arial" w:eastAsia="Arial" w:hAnsi="Arial"/>
          <w:color w:val="718096"/>
          <w:sz w:val="20"/>
          <w:szCs w:val="20"/>
        </w:rPr>
        <w:t xml:space="preserve">Complete System Specification  ·  Version 3.0  ·  Advanced Research Document</w:t>
      </w:r>
    </w:p>
    <w:p>
      <w:r>
        <w:br w:type="page"/>
      </w:r>
    </w:p>
    <w:p>
      <w:pPr>
        <w:pStyle w:val="Heading1"/>
        <w:pBdr>
          <w:bottom w:val="single" w:color="2E75B6" w:sz="6" w:space="1"/>
        </w:pBdr>
        <w:spacing w:before="360" w:after="180"/>
      </w:pPr>
      <w:r>
        <w:rPr>
          <w:rFonts w:ascii="Arial" w:cs="Arial" w:eastAsia="Arial" w:hAnsi="Arial"/>
          <w:b/>
          <w:bCs/>
          <w:color w:val="1B2A4A"/>
          <w:sz w:val="32"/>
          <w:szCs w:val="32"/>
        </w:rPr>
        <w:t xml:space="preserve">Preface: Version 3.0 Scope</w:t>
      </w:r>
    </w:p>
    <w:p>
      <w:pPr>
        <w:spacing w:before="80" w:after="120"/>
        <w:jc w:val="both"/>
      </w:pPr>
      <w:r>
        <w:rPr>
          <w:rFonts w:ascii="Arial" w:cs="Arial" w:eastAsia="Arial" w:hAnsi="Arial"/>
          <w:b w:val="false"/>
          <w:bCs w:val="false"/>
          <w:i w:val="false"/>
          <w:iCs w:val="false"/>
          <w:color w:val="1B2A4A"/>
          <w:sz w:val="22"/>
          <w:szCs w:val="22"/>
        </w:rPr>
        <w:t xml:space="preserve">MACNN-RLS Version 3.0 integrates a sixth foundational body of work into the architecture: the cognitive neuroscience of multimodal metaphor processing. This addition is not peripheral — metaphor is the mechanism by which the brain translates between abstract goals and concrete sensorimotor experience, making it the cognitive substrate of the very cross-domain mapping that the Passive Motion Paradigm implements computationally. Understanding how the brain processes verbal and non-verbal metaphorical information, what factors regulate that processing, and how special populations compensate for processing deficits through neuroplastic reorganization, directly informs three layers of the MACNN-RLS architecture: the feature encoding substrate, the LLM cognitive interface, and the new Multimodal Semantic Integration Layer introduced in this version.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Version</w:t>
            </w:r>
          </w:p>
        </w:tc>
        <w:tc>
          <w:tcPr>
            <w:tcW w:type="dxa" w:w="81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New Contributions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v1.0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Brain-to-AI hierarchy, 3D-CNN-GAN, TFPF, PMP, TRNs, circular reaction, 8-agent system</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v2.0</w:t>
            </w:r>
          </w:p>
        </w:tc>
        <w:tc>
          <w:tcPr>
            <w:tcW w:type="dxa" w:w="81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Quantum-neuromorphic substrate, intermittent control, active inference equivalence, LLM cognitive interface, 10-agent 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v3.0 (this)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Multimodal metaphor processing, neural differentiation (MTG-AG-FG-STS), ERP dynamics (N400-LPC-P600), neuroplastic compensation (autism, aphasia, deaf-mute), cross-cultural neural variation, 12-agent system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Core v3.0 thesis: Metaphor is not decoration on top of cognition — it is the engine of cross-domain mapping that makes abstract thought possible. The same computational mechanism that the PMP uses to map exteroceptive goals to proprioceptive trajectories is the mechanism the brain uses to map concrete source domains to abstract target domains. MACNN-RLS v3.0 unifies these two observations into a single architectural principle.</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I: Theoretical Foundations — The Six Pillars</w:t>
      </w:r>
    </w:p>
    <w:p>
      <w:pPr>
        <w:pStyle w:val="Heading2"/>
        <w:spacing w:before="280" w:after="140"/>
      </w:pPr>
      <w:r>
        <w:rPr>
          <w:rFonts w:ascii="Arial" w:cs="Arial" w:eastAsia="Arial" w:hAnsi="Arial"/>
          <w:b/>
          <w:bCs/>
          <w:color w:val="1E4D8C"/>
          <w:sz w:val="26"/>
          <w:szCs w:val="26"/>
        </w:rPr>
        <w:t xml:space="preserve">1.1  The Brain-to-AI Hierarchy (Pillar 1)</w:t>
      </w:r>
    </w:p>
    <w:p>
      <w:pPr>
        <w:spacing w:before="80" w:after="120"/>
        <w:jc w:val="both"/>
      </w:pPr>
      <w:r>
        <w:rPr>
          <w:rFonts w:ascii="Arial" w:cs="Arial" w:eastAsia="Arial" w:hAnsi="Arial"/>
          <w:b w:val="false"/>
          <w:bCs w:val="false"/>
          <w:i w:val="false"/>
          <w:iCs w:val="false"/>
          <w:color w:val="1B2A4A"/>
          <w:sz w:val="22"/>
          <w:szCs w:val="22"/>
        </w:rPr>
        <w:t xml:space="preserve">The four-tier isomorphism between brain regions and AI paradigms provides MACNN-RLS with its structural scaffold. Each tier's computational properties are directly inherited from the neural substrate it models: brainstem and sensory cortices implement generic pattern recognition; basal ganglia and thalamus implement machine learning with reward integration; the limbic system and hippocampus implement deep feature encoding and episodic memory; the prefrontal cortex implements AGI-level executive control, goal maintenance, and anticipatory reasoning.</w:t>
      </w:r>
    </w:p>
    <w:p>
      <w:pPr>
        <w:spacing w:before="80" w:after="120"/>
        <w:jc w:val="both"/>
      </w:pPr>
      <w:r>
        <w:rPr>
          <w:rFonts w:ascii="Arial" w:cs="Arial" w:eastAsia="Arial" w:hAnsi="Arial"/>
          <w:b w:val="false"/>
          <w:bCs w:val="false"/>
          <w:i w:val="false"/>
          <w:iCs w:val="false"/>
          <w:color w:val="1B2A4A"/>
          <w:sz w:val="22"/>
          <w:szCs w:val="22"/>
        </w:rPr>
        <w:t xml:space="preserve">Version 3.0 adds a critical refinement to this hierarchy: the angular gyrus (AG) and middle temporal gyrus (MTG), previously subsumed under the 'limbic/deep learning' tier, are now recognized as dedicated cross-domain mapping hubs whose function is architecturally equivalent to the Jacobian-mediated mapping between the PMP's exteroceptive and proprioceptive manifolds. This recognition motivates the Multimodal Semantic Integration Layer introduced in Part V.</w:t>
      </w:r>
    </w:p>
    <w:p>
      <w:pPr>
        <w:pStyle w:val="Heading2"/>
        <w:spacing w:before="280" w:after="140"/>
      </w:pPr>
      <w:r>
        <w:rPr>
          <w:rFonts w:ascii="Arial" w:cs="Arial" w:eastAsia="Arial" w:hAnsi="Arial"/>
          <w:b/>
          <w:bCs/>
          <w:color w:val="1E4D8C"/>
          <w:sz w:val="26"/>
          <w:szCs w:val="26"/>
        </w:rPr>
        <w:t xml:space="preserve">1.2  Cybernetics and the PMP (Pillars 2 and 3)</w:t>
      </w:r>
    </w:p>
    <w:p>
      <w:pPr>
        <w:spacing w:before="80" w:after="120"/>
        <w:jc w:val="both"/>
      </w:pPr>
      <w:r>
        <w:rPr>
          <w:rFonts w:ascii="Arial" w:cs="Arial" w:eastAsia="Arial" w:hAnsi="Arial"/>
          <w:b w:val="false"/>
          <w:bCs w:val="false"/>
          <w:i w:val="false"/>
          <w:iCs w:val="false"/>
          <w:color w:val="1B2A4A"/>
          <w:sz w:val="22"/>
          <w:szCs w:val="22"/>
        </w:rPr>
        <w:t xml:space="preserve">Wiener's cybernetics establishes feedback and message-passing as the foundational principles. Bernstein's anticipatory correction and the Passive Motion Paradigm implement these principles as a dual-manifold computational architecture where goals are specified as desired sensory consequences and trajectories emerge from attractor dynamics rather than explicit motor programming. Version 3.0 recognizes that this architecture is isomorphic with Lakoff and Johnson's Conceptual Metaphor Theory: both describe a systematic cross-domain mapping from a concrete source domain (the exteroceptive space / the body / the physical world) to an abstract target domain (the proprioceptive goal space / the conceptual space / the social-communicative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E0F5"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PMP's compliance matrix — which ranks DoF involvement by learned task relevance — is computationally equivalent to the 'knowledge and experience base' that CMT identifies as the prerequisite for metaphor understanding: both provide the weighted prior over which cross-domain associations are activated given a particular goal or context.</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1.3  GAN-Augmented TFPF and Neural Oscillations (Pillar 4)</w:t>
      </w:r>
    </w:p>
    <w:p>
      <w:pPr>
        <w:spacing w:before="80" w:after="120"/>
        <w:jc w:val="both"/>
      </w:pPr>
      <w:r>
        <w:rPr>
          <w:rFonts w:ascii="Arial" w:cs="Arial" w:eastAsia="Arial" w:hAnsi="Arial"/>
          <w:b w:val="false"/>
          <w:bCs w:val="false"/>
          <w:i w:val="false"/>
          <w:iCs w:val="false"/>
          <w:color w:val="1B2A4A"/>
          <w:sz w:val="22"/>
          <w:szCs w:val="22"/>
        </w:rPr>
        <w:t xml:space="preserve">The TFPF framework encodes brain connectivity across temporal (PCC), frequency (COH), and phase (PLV) dimensions. Version 3.0 integrates this with the neural oscillation evidence from metaphor research: gamma band synchronization in the parieto-temporal network is the electrophysiological signature of real-time multimodal integration. The TFPF's coherence metric directly captures this gamma synchronization, making TFPF not merely a feature engineering choice but a principled measurement of the neural mechanism underlying cross-modal binding.</w:t>
      </w:r>
    </w:p>
    <w:p>
      <w:pPr>
        <w:pStyle w:val="Heading2"/>
        <w:spacing w:before="280" w:after="140"/>
      </w:pPr>
      <w:r>
        <w:rPr>
          <w:rFonts w:ascii="Arial" w:cs="Arial" w:eastAsia="Arial" w:hAnsi="Arial"/>
          <w:b/>
          <w:bCs/>
          <w:color w:val="1E4D8C"/>
          <w:sz w:val="26"/>
          <w:szCs w:val="26"/>
        </w:rPr>
        <w:t xml:space="preserve">1.4  Neuromorphic Substrate and Active Inference (Pillars 5 and 6 from v2.0)</w:t>
      </w:r>
    </w:p>
    <w:p>
      <w:pPr>
        <w:spacing w:before="80" w:after="120"/>
        <w:jc w:val="both"/>
      </w:pPr>
      <w:r>
        <w:rPr>
          <w:rFonts w:ascii="Arial" w:cs="Arial" w:eastAsia="Arial" w:hAnsi="Arial"/>
          <w:b w:val="false"/>
          <w:bCs w:val="false"/>
          <w:i w:val="false"/>
          <w:iCs w:val="false"/>
          <w:color w:val="1B2A4A"/>
          <w:sz w:val="22"/>
          <w:szCs w:val="22"/>
        </w:rPr>
        <w:t xml:space="preserve">The quantum-neuromorphic substrate provides the deployment hardware. Active inference provides the normative framework: all perception, action, and learning reduce to free energy minimization, and the PMP's Gamma-command corresponds to precision-weighted proprioceptive prediction error. These foundations are unchanged from v2.0 and are summarized here for completeness.</w:t>
      </w:r>
    </w:p>
    <w:p>
      <w:pPr>
        <w:pStyle w:val="Heading2"/>
        <w:spacing w:before="280" w:after="140"/>
      </w:pPr>
      <w:r>
        <w:rPr>
          <w:rFonts w:ascii="Arial" w:cs="Arial" w:eastAsia="Arial" w:hAnsi="Arial"/>
          <w:b/>
          <w:bCs/>
          <w:color w:val="1E4D8C"/>
          <w:sz w:val="26"/>
          <w:szCs w:val="26"/>
        </w:rPr>
        <w:t xml:space="preserve">1.5  Multimodal Metaphor Neuroscience (Pillar 6 — New in v3.0)</w:t>
      </w:r>
    </w:p>
    <w:p>
      <w:pPr>
        <w:spacing w:before="80" w:after="120"/>
        <w:jc w:val="both"/>
      </w:pPr>
      <w:r>
        <w:rPr>
          <w:rFonts w:ascii="Arial" w:cs="Arial" w:eastAsia="Arial" w:hAnsi="Arial"/>
          <w:b w:val="false"/>
          <w:bCs w:val="false"/>
          <w:i w:val="false"/>
          <w:iCs w:val="false"/>
          <w:color w:val="1B2A4A"/>
          <w:sz w:val="22"/>
          <w:szCs w:val="22"/>
        </w:rPr>
        <w:t xml:space="preserve">The sixth pillar establishes the cognitive neuroscience of metaphor processing as a foundational input to the architecture. Metaphors are not rhetorical ornaments but the primary mechanism by which the brain makes abstract concepts perceptible and communicable. Cross-domain mapping — from concrete source domain to abstract target domain — is the core operation, and its neural implementation is distributed across a set of well-characterized regions whose functional roles are now incorporated directly into the agent architecture.</w:t>
      </w:r>
    </w:p>
    <w:p>
      <w:pPr>
        <w:spacing w:before="80" w:after="120"/>
        <w:jc w:val="both"/>
      </w:pPr>
      <w:r>
        <w:rPr>
          <w:rFonts w:ascii="Arial" w:cs="Arial" w:eastAsia="Arial" w:hAnsi="Arial"/>
          <w:b w:val="false"/>
          <w:bCs w:val="false"/>
          <w:i w:val="false"/>
          <w:iCs w:val="false"/>
          <w:color w:val="1B2A4A"/>
          <w:sz w:val="22"/>
          <w:szCs w:val="22"/>
        </w:rPr>
        <w:t xml:space="preserve">Three dimensions regulate metaphor processing efficiency: knowledge and experience (culturally acquired schemas plus embodied sensorimotor knowledge), contextual information (verbal and non-verbal cues that activate and filter relevant knowledge), and individual differences (cognitive style, group identity, and neurophysiological variation). These three dimensions map directly onto MACNN-RLS's existing learning architecture and provide the specification for the new Context Regulation and Individual Adaptation modules introduced in v3.0.</w:t>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II: Neural Differentiation — Verbal and Non-Verbal Modalities</w:t>
      </w:r>
    </w:p>
    <w:p>
      <w:pPr>
        <w:pStyle w:val="Heading2"/>
        <w:spacing w:before="280" w:after="140"/>
      </w:pPr>
      <w:r>
        <w:rPr>
          <w:rFonts w:ascii="Arial" w:cs="Arial" w:eastAsia="Arial" w:hAnsi="Arial"/>
          <w:b/>
          <w:bCs/>
          <w:color w:val="1E4D8C"/>
          <w:sz w:val="26"/>
          <w:szCs w:val="26"/>
        </w:rPr>
        <w:t xml:space="preserve">2.1  The Verbal Metaphor Processing Network</w:t>
      </w:r>
    </w:p>
    <w:p>
      <w:pPr>
        <w:spacing w:before="80" w:after="120"/>
        <w:jc w:val="both"/>
      </w:pPr>
      <w:r>
        <w:rPr>
          <w:rFonts w:ascii="Arial" w:cs="Arial" w:eastAsia="Arial" w:hAnsi="Arial"/>
          <w:b w:val="false"/>
          <w:bCs w:val="false"/>
          <w:i w:val="false"/>
          <w:iCs w:val="false"/>
          <w:color w:val="1B2A4A"/>
          <w:sz w:val="22"/>
          <w:szCs w:val="22"/>
        </w:rPr>
        <w:t xml:space="preserve">Linguistic metaphor processing recruits a core left-hemisphere network with three functionally distinct nodes. The middle temporal gyrus (MTG) extracts semantic features of abstract concepts and maintains the target domain representation. The angular gyrus (AG) performs the cross-domain binding operation — integrating concrete experiential associations with abstract concepts to complete the topological mapping. The prefrontal cortex (PFC), particularly the anterior cingulate and dorsolateral subregions, monitors semantic conflict between literal and metaphorical interpretations and suppresses the automated literal reading that would otherwise dominate processing.</w:t>
      </w:r>
    </w:p>
    <w:p>
      <w:pPr>
        <w:spacing w:before="80" w:after="120"/>
        <w:jc w:val="both"/>
      </w:pPr>
      <w:r>
        <w:rPr>
          <w:rFonts w:ascii="Arial" w:cs="Arial" w:eastAsia="Arial" w:hAnsi="Arial"/>
          <w:b w:val="false"/>
          <w:bCs w:val="false"/>
          <w:i w:val="false"/>
          <w:iCs w:val="false"/>
          <w:color w:val="1B2A4A"/>
          <w:sz w:val="22"/>
          <w:szCs w:val="22"/>
        </w:rPr>
        <w:t xml:space="preserve">The temporal dynamics of this process are captured by a characteristic ERP sequence. The N400 component reflects initial semantic integration difficulty: its amplitude increases with metaphor novelty (the more unusual the mapping, the harder the initial binding) and decreases with contextual support (strong contexts pre-activate relevant associations, reducing integration cost). The subsequent LPC and P600 components reflect higher-order processing: P600 is associated with reanalysis of semantic-syntactic conflict and cognitive control, while LPC reflects emotional evaluation, situational model updating, and memory encoding. In metaphor comprehension, novel mappings more readily elicit P600 (the literal-metaphorical conflict requires active reanalysis), while emotionally resonant mappings more readily elicit LPC (the metaphor is integrated into the affective-situational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2400"/>
        <w:gridCol w:w="2560"/>
      </w:tblGrid>
      <w:tr>
        <w:trPr>
          <w:tblHeader/>
        </w:trPr>
        <w:tc>
          <w:tcPr>
            <w:tcW w:type="dxa" w:w="1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Component</w:t>
            </w:r>
          </w:p>
        </w:tc>
        <w:tc>
          <w:tcPr>
            <w:tcW w:type="dxa" w:w="1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Latency</w:t>
            </w:r>
          </w:p>
        </w:tc>
        <w:tc>
          <w:tcPr>
            <w:tcW w:type="dxa" w:w="1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Scalp Topography</w:t>
            </w:r>
          </w:p>
        </w:tc>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Cognitive Function</w:t>
            </w:r>
          </w:p>
        </w:tc>
        <w:tc>
          <w:tcPr>
            <w:tcW w:type="dxa" w:w="25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Metaphor-Specific Modulation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150–500ms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Bilateral, posterior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Semantic integration difficulty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Amplitude ↑ with metaphor novelty; ↓ with contextual support</w:t>
            </w:r>
          </w:p>
        </w:tc>
      </w:tr>
      <w:tr>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P600</w:t>
            </w:r>
          </w:p>
        </w:tc>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500–800ms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Centroparietal</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Syntactic/semantic reanalysis, conflict resolution</w:t>
            </w:r>
          </w:p>
        </w:tc>
        <w:tc>
          <w:tcPr>
            <w:tcW w:type="dxa" w:w="2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Elicited when literal-metaphorical conflict requires active overriding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LPC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500–900ms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Posterior, parietal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Emotional evaluation, situational model update, memory encoding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Elicited by emotional resonance, schema integration, durable encoding</w:t>
            </w:r>
          </w:p>
        </w:tc>
      </w:tr>
      <w:tr>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Gamma</w:t>
            </w:r>
          </w:p>
        </w:tc>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30–100Hz ongoing</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Parieto-temporal</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Real-time cross-modal binding</w:t>
            </w:r>
          </w:p>
        </w:tc>
        <w:tc>
          <w:tcPr>
            <w:tcW w:type="dxa" w:w="2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Synchronization ↑ with multimodal integration demands; ↓ with metaphor novelty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3CD" w:val="clear"/>
            <w:tcMar>
              <w:top w:type="dxa" w:w="140"/>
              <w:left w:type="dxa" w:w="200"/>
              <w:bottom w:type="dxa" w:w="140"/>
              <w:right w:type="dxa" w:w="200"/>
            </w:tcMar>
          </w:tcPr>
          <w:p>
            <w:pPr>
              <w:spacing w:before="0" w:after="0"/>
            </w:pPr>
            <w:r>
              <w:rPr>
                <w:rFonts w:ascii="Arial" w:cs="Arial" w:eastAsia="Arial" w:hAnsi="Arial"/>
                <w:b/>
                <w:bCs/>
                <w:color w:val="1B2A4A"/>
                <w:sz w:val="21"/>
                <w:szCs w:val="21"/>
              </w:rPr>
              <w:t xml:space="preserve">Cross-linguistic note: </w:t>
            </w:r>
            <w:r>
              <w:rPr>
                <w:rFonts w:ascii="Arial" w:cs="Arial" w:eastAsia="Arial" w:hAnsi="Arial"/>
                <w:i/>
                <w:iCs/>
                <w:color w:val="1B2A4A"/>
                <w:sz w:val="21"/>
                <w:szCs w:val="21"/>
              </w:rPr>
              <w:t xml:space="preserve">Chinese metaphor processing shows relatively greater right-hemisphere engagement than English, attributable to the visual complexity of logographic characters and their reliance on fusiform gyrus (FG) for morpho-semantic encoding, versus the left-hemisphere phonological-semantic binding dominant in alphabetic scripts. However, this lateralization difference is confounded by orthographic complexity, semantic transparency, and word frequency — variables that must be rigorously matched before drawing conclusions about deep metaphor mechanism differences.</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2.2  The Non-Verbal Metaphor Processing Network</w:t>
      </w:r>
    </w:p>
    <w:p>
      <w:pPr>
        <w:spacing w:before="80" w:after="120"/>
        <w:jc w:val="both"/>
      </w:pPr>
      <w:r>
        <w:rPr>
          <w:rFonts w:ascii="Arial" w:cs="Arial" w:eastAsia="Arial" w:hAnsi="Arial"/>
          <w:b w:val="false"/>
          <w:bCs w:val="false"/>
          <w:i w:val="false"/>
          <w:iCs w:val="false"/>
          <w:color w:val="1B2A4A"/>
          <w:sz w:val="22"/>
          <w:szCs w:val="22"/>
        </w:rPr>
        <w:t xml:space="preserve">Non-verbal metaphors engage a distributed network organized around three sensorimotor-semantic binding pathways, each corresponding to a different input modality:</w:t>
      </w:r>
    </w:p>
    <w:p>
      <w:pPr>
        <w:spacing w:before="80" w:after="100"/>
      </w:pPr>
      <w:r>
        <w:rPr>
          <w:rFonts w:ascii="Arial" w:cs="Arial" w:eastAsia="Arial" w:hAnsi="Arial"/>
          <w:b/>
          <w:bCs/>
          <w:color w:val="1B2A4A"/>
          <w:sz w:val="22"/>
          <w:szCs w:val="22"/>
        </w:rPr>
        <w:t xml:space="preserve">Visual metaphors: </w:t>
      </w:r>
      <w:r>
        <w:rPr>
          <w:rFonts w:ascii="Arial" w:cs="Arial" w:eastAsia="Arial" w:hAnsi="Arial"/>
          <w:color w:val="1B2A4A"/>
          <w:sz w:val="22"/>
          <w:szCs w:val="22"/>
        </w:rPr>
        <w:t xml:space="preserve">The occipito-temporal pathway activates the fusiform gyrus (FG) for object recognition (e.g., dead tree), then the AG binds the recognized object to its abstract symbolic meaning (e.g., ecological crisis). The amygdala-medial PFC coupling encodes affective valence, providing the emotional dimension of the metaphorical meaning. This pathway is the visual analog of the MTG-AG verbal pathway.</w:t>
      </w:r>
    </w:p>
    <w:p>
      <w:pPr>
        <w:spacing w:before="80" w:after="100"/>
      </w:pPr>
      <w:r>
        <w:rPr>
          <w:rFonts w:ascii="Arial" w:cs="Arial" w:eastAsia="Arial" w:hAnsi="Arial"/>
          <w:b/>
          <w:bCs/>
          <w:color w:val="1B2A4A"/>
          <w:sz w:val="22"/>
          <w:szCs w:val="22"/>
        </w:rPr>
        <w:t xml:space="preserve">Gesture metaphors: </w:t>
      </w:r>
      <w:r>
        <w:rPr>
          <w:rFonts w:ascii="Arial" w:cs="Arial" w:eastAsia="Arial" w:hAnsi="Arial"/>
          <w:color w:val="1B2A4A"/>
          <w:sz w:val="22"/>
          <w:szCs w:val="22"/>
        </w:rPr>
        <w:t xml:space="preserve">The premotor cortex and inferior parietal lobule activate in response to spatial movement that simulates abstract concepts (e.g., ascending gesture for progress). The right superior temporal sulcus (rSTS) and mirror neuron system (MNS) synergize to support cross-subject understanding through action simulation. This pathway implements embodied cognition directly: abstract meaning is grounded in simulated motor experience.</w:t>
      </w:r>
    </w:p>
    <w:p>
      <w:pPr>
        <w:spacing w:before="80" w:after="100"/>
      </w:pPr>
      <w:r>
        <w:rPr>
          <w:rFonts w:ascii="Arial" w:cs="Arial" w:eastAsia="Arial" w:hAnsi="Arial"/>
          <w:b/>
          <w:bCs/>
          <w:color w:val="1B2A4A"/>
          <w:sz w:val="22"/>
          <w:szCs w:val="22"/>
        </w:rPr>
        <w:t xml:space="preserve">Tactile metaphors: </w:t>
      </w:r>
      <w:r>
        <w:rPr>
          <w:rFonts w:ascii="Arial" w:cs="Arial" w:eastAsia="Arial" w:hAnsi="Arial"/>
          <w:color w:val="1B2A4A"/>
          <w:sz w:val="22"/>
          <w:szCs w:val="22"/>
        </w:rPr>
        <w:t xml:space="preserve">The somatosensory cortex encodes texture representations (e.g., silk), while the insula converts tactile valence into emotional meaning through interoceptive processing. This pathway is the basis of the embodied association between physical sensation and abstract quality ('warm personality', 'rough treatment').</w:t>
      </w:r>
    </w:p>
    <w:p>
      <w:pPr>
        <w:spacing w:before="0" w:after="0"/>
      </w:pPr>
      <w:r>
        <w:t xml:space="preserve"/>
      </w:r>
    </w:p>
    <w:p>
      <w:pPr>
        <w:spacing w:before="80" w:after="120"/>
        <w:jc w:val="both"/>
      </w:pPr>
      <w:r>
        <w:rPr>
          <w:rFonts w:ascii="Arial" w:cs="Arial" w:eastAsia="Arial" w:hAnsi="Arial"/>
          <w:b w:val="false"/>
          <w:bCs w:val="false"/>
          <w:i w:val="false"/>
          <w:iCs w:val="false"/>
          <w:color w:val="1B2A4A"/>
          <w:sz w:val="22"/>
          <w:szCs w:val="22"/>
        </w:rPr>
        <w:t xml:space="preserve">Crucially, non-verbal metaphors do not lack semantic integration monitoring — N400-like components are elicited in the temporo-parietal region when non-verbal symbols conflict with their conventional symbolic meaning. This confirms that cross-modal semantic integration shares neuroelectrophysiological mechanisms with linguistic processing, validating the TFPF framework's application to non-verbal metaphorical signals.</w:t>
      </w:r>
    </w:p>
    <w:p>
      <w:pPr>
        <w:pStyle w:val="Heading2"/>
        <w:spacing w:before="280" w:after="140"/>
      </w:pPr>
      <w:r>
        <w:rPr>
          <w:rFonts w:ascii="Arial" w:cs="Arial" w:eastAsia="Arial" w:hAnsi="Arial"/>
          <w:b/>
          <w:bCs/>
          <w:color w:val="1E4D8C"/>
          <w:sz w:val="26"/>
          <w:szCs w:val="26"/>
        </w:rPr>
        <w:t xml:space="preserve">2.3  Common Architecture Across Modalities</w:t>
      </w:r>
    </w:p>
    <w:p>
      <w:pPr>
        <w:spacing w:before="80" w:after="120"/>
        <w:jc w:val="both"/>
      </w:pPr>
      <w:r>
        <w:rPr>
          <w:rFonts w:ascii="Arial" w:cs="Arial" w:eastAsia="Arial" w:hAnsi="Arial"/>
          <w:b w:val="false"/>
          <w:bCs w:val="false"/>
          <w:i w:val="false"/>
          <w:iCs w:val="false"/>
          <w:color w:val="1B2A4A"/>
          <w:sz w:val="22"/>
          <w:szCs w:val="22"/>
        </w:rPr>
        <w:t xml:space="preserve">Despite their channel-specific division of labor, verbal and non-verbal metaphor processing share a three-stage computational architecture that maps directly onto the MACNN-RLS agent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1760"/>
      </w:tblGrid>
      <w:tr>
        <w:trPr>
          <w:tblHeader/>
        </w:trPr>
        <w:tc>
          <w:tcPr>
            <w:tcW w:type="dxa" w:w="2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Stage</w:t>
            </w:r>
          </w:p>
        </w:tc>
        <w:tc>
          <w:tcPr>
            <w:tcW w:type="dxa" w:w="2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Neural Process</w:t>
            </w:r>
          </w:p>
        </w:tc>
        <w:tc>
          <w:tcPr>
            <w:tcW w:type="dxa" w:w="3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Brain Regions</w:t>
            </w:r>
          </w:p>
        </w:tc>
        <w:tc>
          <w:tcPr>
            <w:tcW w:type="dxa" w:w="17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MACNN-RLS 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Stage 1: Embodied Activation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Sensorimotor system activation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Perceptual/motor system encodes the source domain (visual object, gesture movement, tactile texture, phonological form)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Brainstem + Limbic Feature Agents</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Stage 2: Semantic Abstraction</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Feature extraction and abstraction</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MTG/FG extracts semantic features; AG performs cross-domain binding</w:t>
            </w:r>
          </w:p>
        </w:tc>
        <w:tc>
          <w:tcPr>
            <w:tcW w:type="dxa" w:w="1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Limbic Feature + Hippocampal Agents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Stage 3: Executive Regulation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PFC-mediated control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PFC suppresses literal interference, monitors conflict, integrates emotional valence, encodes to situational model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Cingulate + Prefrontal Agents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0EDE9"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AG is the universal cross-domain binding hub across all modalities — it binds abstract concepts to concrete images in visual metaphors, to gestural actions in motor metaphors, and to linguistic forms in verbal metaphors. In MACNN-RLS terms, the AG implements the transposed Jacobian: it maps from the high-dimensional sensorimotor manifold back to the low-dimensional conceptual manifold, enabling abstract meaning construction from concrete sensory input.</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III: Brain Network Synergy and Gamma Dynamics</w:t>
      </w:r>
    </w:p>
    <w:p>
      <w:pPr>
        <w:pStyle w:val="Heading2"/>
        <w:spacing w:before="280" w:after="140"/>
      </w:pPr>
      <w:r>
        <w:rPr>
          <w:rFonts w:ascii="Arial" w:cs="Arial" w:eastAsia="Arial" w:hAnsi="Arial"/>
          <w:b/>
          <w:bCs/>
          <w:color w:val="1E4D8C"/>
          <w:sz w:val="26"/>
          <w:szCs w:val="26"/>
        </w:rPr>
        <w:t xml:space="preserve">3.1  The Multimodal Integration Network</w:t>
      </w:r>
    </w:p>
    <w:p>
      <w:pPr>
        <w:spacing w:before="80" w:after="120"/>
        <w:jc w:val="both"/>
      </w:pPr>
      <w:r>
        <w:rPr>
          <w:rFonts w:ascii="Arial" w:cs="Arial" w:eastAsia="Arial" w:hAnsi="Arial"/>
          <w:b w:val="false"/>
          <w:bCs w:val="false"/>
          <w:i w:val="false"/>
          <w:iCs w:val="false"/>
          <w:color w:val="1B2A4A"/>
          <w:sz w:val="22"/>
          <w:szCs w:val="22"/>
        </w:rPr>
        <w:t xml:space="preserve">Efficient multimodal metaphor processing depends on coordinated activation across three large-scale networks. The Default Mode Network (DMN — medial PFC, posterior cingulate cortex, precuneus, inferior parietal lobule) supports context-dependent and self-referential metaphor processing, global semantic association, and the integration of background knowledge into current processing. The Dorsal Attention Network (DAN — intraparietal sulcus, frontal eye fields) supports goal-directed metaphor processing and allocation of top-down attentional resources to task-relevant metaphorical content. The Ventral Attention Network (VAN) handles goal-oriented conventional metaphor processing (e.g., 'time is money'), detecting salient metaphorical content and triggering reorientation when unexpected mappings occur.</w:t>
      </w:r>
    </w:p>
    <w:p>
      <w:pPr>
        <w:spacing w:before="80" w:after="120"/>
        <w:jc w:val="both"/>
      </w:pPr>
      <w:r>
        <w:rPr>
          <w:rFonts w:ascii="Arial" w:cs="Arial" w:eastAsia="Arial" w:hAnsi="Arial"/>
          <w:b w:val="false"/>
          <w:bCs w:val="false"/>
          <w:i w:val="false"/>
          <w:iCs w:val="false"/>
          <w:color w:val="1B2A4A"/>
          <w:sz w:val="22"/>
          <w:szCs w:val="22"/>
        </w:rPr>
        <w:t xml:space="preserve">The functional connectivity strength of DMN and DAN is significantly higher in East Asian subjects than Western subjects, reflecting the influence of cultural experience on brain network organization for metaphor comprehension. Context-dependent metaphor processing (characterized by reliance on shared background knowledge) preferentially engages DMN, while goal-oriented processing preferentially engages VAN and left prefrontal lobe. This cultural-neural variation is incorporated into the Individual Adaptation Module of the MACNN-RLS Multimodal Semantic Integration Layer.</w:t>
      </w:r>
    </w:p>
    <w:p>
      <w:pPr>
        <w:pStyle w:val="Heading2"/>
        <w:spacing w:before="280" w:after="140"/>
      </w:pPr>
      <w:r>
        <w:rPr>
          <w:rFonts w:ascii="Arial" w:cs="Arial" w:eastAsia="Arial" w:hAnsi="Arial"/>
          <w:b/>
          <w:bCs/>
          <w:color w:val="1E4D8C"/>
          <w:sz w:val="26"/>
          <w:szCs w:val="26"/>
        </w:rPr>
        <w:t xml:space="preserve">3.2  Gamma Oscillations as the Integration Carrier</w:t>
      </w:r>
    </w:p>
    <w:p>
      <w:pPr>
        <w:spacing w:before="80" w:after="120"/>
        <w:jc w:val="both"/>
      </w:pPr>
      <w:r>
        <w:rPr>
          <w:rFonts w:ascii="Arial" w:cs="Arial" w:eastAsia="Arial" w:hAnsi="Arial"/>
          <w:b w:val="false"/>
          <w:bCs w:val="false"/>
          <w:i w:val="false"/>
          <w:iCs w:val="false"/>
          <w:color w:val="1B2A4A"/>
          <w:sz w:val="22"/>
          <w:szCs w:val="22"/>
        </w:rPr>
        <w:t xml:space="preserve">High-frequency gamma band activity (30–100Hz) in the parieto-temporal network is the key neural mechanism supporting real-time binding of cross-modal metaphorical information. Gamma synchronization enhancement reflects the temporal coordination of spatially distributed neural assemblies that jointly encode the cross-domain mapping — the gestural spatial coding and its abstract semantic referent must be bound together within a narrow time window, and gamma oscillations provide the carrier for this binding.</w:t>
      </w:r>
    </w:p>
    <w:p>
      <w:pPr>
        <w:spacing w:before="80" w:after="120"/>
        <w:jc w:val="both"/>
      </w:pPr>
      <w:r>
        <w:rPr>
          <w:rFonts w:ascii="Arial" w:cs="Arial" w:eastAsia="Arial" w:hAnsi="Arial"/>
          <w:b w:val="false"/>
          <w:bCs w:val="false"/>
          <w:i w:val="false"/>
          <w:iCs w:val="false"/>
          <w:color w:val="1B2A4A"/>
          <w:sz w:val="22"/>
          <w:szCs w:val="22"/>
        </w:rPr>
        <w:t xml:space="preserve">A critical finding: gamma synchronization during metaphor generation is significantly negatively correlated with metaphor novelty. Highly familiar metaphors ('time is money') produce strong, efficient gamma synchronization. Novel metaphors ('personality is a tidal pattern') produce weaker, less synchronized gamma activity, reflecting the greater computational cost of establishing a new cross-domain binding. This novelty effect is the neural correlate of the N400 amplitude effect and provides the temporal dynamics that the TFPF's coherence metric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4EDDA"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TFPF coherence metric is a direct measurement of gamma-band synchronization across electrode pairs. This is not a coincidence — it is the reason TFPF is the appropriate feature representation for multimodal metaphor processing. High coherence in the parieto-temporal network is both the neural signature of successful cross-modal binding and the computational input to the MACNN-RLS Multimodal Semantic Integration Agent.</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3.3  AG as the Universal Semantic Hub</w:t>
      </w:r>
    </w:p>
    <w:p>
      <w:pPr>
        <w:spacing w:before="80" w:after="120"/>
        <w:jc w:val="both"/>
      </w:pPr>
      <w:r>
        <w:rPr>
          <w:rFonts w:ascii="Arial" w:cs="Arial" w:eastAsia="Arial" w:hAnsi="Arial"/>
          <w:b w:val="false"/>
          <w:bCs w:val="false"/>
          <w:i w:val="false"/>
          <w:iCs w:val="false"/>
          <w:color w:val="1B2A4A"/>
          <w:sz w:val="22"/>
          <w:szCs w:val="22"/>
        </w:rPr>
        <w:t xml:space="preserve">The angular gyrus occupies a structurally privileged position at the junction of visual, auditory, somatosensory, and temporal association cortices. Its resting-state functional connectivity strength with these regions is positively correlated with metaphor comprehension efficiency. This convergence zone property makes it the brain's primary multimodal semantic hub — the physical substrate of the universal cross-domain binding operation that all metaphor types share.</w:t>
      </w:r>
    </w:p>
    <w:p>
      <w:pPr>
        <w:spacing w:before="80" w:after="120"/>
        <w:jc w:val="both"/>
      </w:pPr>
      <w:r>
        <w:rPr>
          <w:rFonts w:ascii="Arial" w:cs="Arial" w:eastAsia="Arial" w:hAnsi="Arial"/>
          <w:b w:val="false"/>
          <w:bCs w:val="false"/>
          <w:i w:val="false"/>
          <w:iCs w:val="false"/>
          <w:color w:val="1B2A4A"/>
          <w:sz w:val="22"/>
          <w:szCs w:val="22"/>
        </w:rPr>
        <w:t xml:space="preserve">In MACNN-RLS terms, the AG is the biological implementation of the compliance matrix in the PMP: it weights the contribution of different sensorimotor inputs to the construction of an abstract conceptual representation, just as the compliance matrix weights the contribution of different degrees of freedom to the construction of a motor trajectory. Both solve the same fundamental problem: how to map from a high-dimensional sensorimotor space to a low-dimensional conceptual/exteroceptive space in a way that is learned, flexible, and context-sensitive.</w:t>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IV: Neuroplastic Compensation in Special Populations</w:t>
      </w:r>
    </w:p>
    <w:p>
      <w:pPr>
        <w:pStyle w:val="Heading2"/>
        <w:spacing w:before="280" w:after="140"/>
      </w:pPr>
      <w:r>
        <w:rPr>
          <w:rFonts w:ascii="Arial" w:cs="Arial" w:eastAsia="Arial" w:hAnsi="Arial"/>
          <w:b/>
          <w:bCs/>
          <w:color w:val="1E4D8C"/>
          <w:sz w:val="26"/>
          <w:szCs w:val="26"/>
        </w:rPr>
        <w:t xml:space="preserve">4.1  General Principle: Adaptive Reorganization</w:t>
      </w:r>
    </w:p>
    <w:p>
      <w:pPr>
        <w:spacing w:before="80" w:after="120"/>
        <w:jc w:val="both"/>
      </w:pPr>
      <w:r>
        <w:rPr>
          <w:rFonts w:ascii="Arial" w:cs="Arial" w:eastAsia="Arial" w:hAnsi="Arial"/>
          <w:b w:val="false"/>
          <w:bCs w:val="false"/>
          <w:i w:val="false"/>
          <w:iCs w:val="false"/>
          <w:color w:val="1B2A4A"/>
          <w:sz w:val="22"/>
          <w:szCs w:val="22"/>
        </w:rPr>
        <w:t xml:space="preserve">Special populations with specific communication disorders cannot invoke the standard multimodal metaphor processing architecture in the same way as neurotypical individuals. Instead, their nervous systems exploit neuroplasticity to reorganize functional connectivity, recruiting alternative pathways and compensatory brain regions to achieve metaphor understanding through different routes. This compensatory reorganization is not a deficit state but an adaptive solution — in some cases producing processing superiority in specific channels that the standard architecture does not achieve.</w:t>
      </w:r>
    </w:p>
    <w:p>
      <w:pPr>
        <w:spacing w:before="80" w:after="120"/>
        <w:jc w:val="both"/>
      </w:pPr>
      <w:r>
        <w:rPr>
          <w:rFonts w:ascii="Arial" w:cs="Arial" w:eastAsia="Arial" w:hAnsi="Arial"/>
          <w:b w:val="false"/>
          <w:bCs w:val="false"/>
          <w:i w:val="false"/>
          <w:iCs w:val="false"/>
          <w:color w:val="1B2A4A"/>
          <w:sz w:val="22"/>
          <w:szCs w:val="22"/>
        </w:rPr>
        <w:t xml:space="preserve">Three principles govern this compensatory reorganization. First, channel substitution: when a primary modality is impaired or unavailable, processing shifts to intact modalities with concurrent enhancement of the relevant cortical representations. Second, hemispheric migration: when left-hemisphere language networks are damaged or functionally inaccessible, right-hemisphere homologues assume metaphor-relevant processing functions. Third, cross-modal enrichment: the brain networks serving impaired channels are partially reassigned to enhanced processing of intact channels, producing above-average performance in those channels.</w:t>
      </w:r>
    </w:p>
    <w:p>
      <w:pPr>
        <w:pStyle w:val="Heading2"/>
        <w:spacing w:before="280" w:after="140"/>
      </w:pPr>
      <w:r>
        <w:rPr>
          <w:rFonts w:ascii="Arial" w:cs="Arial" w:eastAsia="Arial" w:hAnsi="Arial"/>
          <w:b/>
          <w:bCs/>
          <w:color w:val="1E4D8C"/>
          <w:sz w:val="26"/>
          <w:szCs w:val="26"/>
        </w:rPr>
        <w:t xml:space="preserve">4.2  Autism Spectrum Disorder</w:t>
      </w:r>
    </w:p>
    <w:p>
      <w:pPr>
        <w:spacing w:before="80" w:after="120"/>
        <w:jc w:val="both"/>
      </w:pPr>
      <w:r>
        <w:rPr>
          <w:rFonts w:ascii="Arial" w:cs="Arial" w:eastAsia="Arial" w:hAnsi="Arial"/>
          <w:b w:val="false"/>
          <w:bCs w:val="false"/>
          <w:i w:val="false"/>
          <w:iCs w:val="false"/>
          <w:color w:val="1B2A4A"/>
          <w:sz w:val="22"/>
          <w:szCs w:val="22"/>
        </w:rPr>
        <w:t xml:space="preserve">Individuals on the autism spectrum show characteristic patterns of linguistic metaphor processing difficulty attributable to differences in Theory of Mind networks and semantic integration pathways. However, their cognitive systems compensate through visual regularization and concrete sensory anchoring — exploiting the visual-tactile multimodal channels to reconstruct semantic networks that linguistic processing cannot efficiently provide.</w:t>
      </w:r>
    </w:p>
    <w:p>
      <w:pPr>
        <w:spacing w:before="80" w:after="100"/>
      </w:pPr>
      <w:r>
        <w:rPr>
          <w:rFonts w:ascii="Arial" w:cs="Arial" w:eastAsia="Arial" w:hAnsi="Arial"/>
          <w:b/>
          <w:bCs/>
          <w:color w:val="1B2A4A"/>
          <w:sz w:val="22"/>
          <w:szCs w:val="22"/>
        </w:rPr>
        <w:t xml:space="preserve">Compensation mechanism: </w:t>
      </w:r>
      <w:r>
        <w:rPr>
          <w:rFonts w:ascii="Arial" w:cs="Arial" w:eastAsia="Arial" w:hAnsi="Arial"/>
          <w:color w:val="1B2A4A"/>
          <w:sz w:val="22"/>
          <w:szCs w:val="22"/>
        </w:rPr>
        <w:t xml:space="preserve">Enhanced activation of the right parietal cortex and right temporoparietal junction (rTPJ) when processing social rules through visual-tactile channels (e.g., flowcharts, vibrational emotional feedback). Functional reorganization of the mirror neuron system to support visual-to-social-meaning mapping.</w:t>
      </w:r>
    </w:p>
    <w:p>
      <w:pPr>
        <w:spacing w:before="80" w:after="100"/>
      </w:pPr>
      <w:r>
        <w:rPr>
          <w:rFonts w:ascii="Arial" w:cs="Arial" w:eastAsia="Arial" w:hAnsi="Arial"/>
          <w:b/>
          <w:bCs/>
          <w:color w:val="1B2A4A"/>
          <w:sz w:val="22"/>
          <w:szCs w:val="22"/>
        </w:rPr>
        <w:t xml:space="preserve">Novelty-sensitivity modulation: </w:t>
      </w:r>
      <w:r>
        <w:rPr>
          <w:rFonts w:ascii="Arial" w:cs="Arial" w:eastAsia="Arial" w:hAnsi="Arial"/>
          <w:color w:val="1B2A4A"/>
          <w:sz w:val="22"/>
          <w:szCs w:val="22"/>
        </w:rPr>
        <w:t xml:space="preserve">Highly dominant metaphors (high familiarity, strong visual-conceptual mapping) induce early cross-modal coupling in the rTPJ and significantly reduce N400 amplitude — approaching neurotypical processing efficiency. Low-dominant (novel) metaphors continue to elicit abnormal LPC patterns, reflecting persistent abstract semantic integration barriers that familiarity-based compensation cannot fully resolve.</w:t>
      </w:r>
    </w:p>
    <w:p>
      <w:pPr>
        <w:spacing w:before="80" w:after="100"/>
      </w:pPr>
      <w:r>
        <w:rPr>
          <w:rFonts w:ascii="Arial" w:cs="Arial" w:eastAsia="Arial" w:hAnsi="Arial"/>
          <w:b/>
          <w:bCs/>
          <w:color w:val="1B2A4A"/>
          <w:sz w:val="22"/>
          <w:szCs w:val="22"/>
        </w:rPr>
        <w:t xml:space="preserve">Architectural implication: </w:t>
      </w:r>
      <w:r>
        <w:rPr>
          <w:rFonts w:ascii="Arial" w:cs="Arial" w:eastAsia="Arial" w:hAnsi="Arial"/>
          <w:color w:val="1B2A4A"/>
          <w:sz w:val="22"/>
          <w:szCs w:val="22"/>
        </w:rPr>
        <w:t xml:space="preserve">The autism compensation pattern demonstrates that visual-concrete channel enhancement can substitute for linguistic-abstract channel impairment in metaphor processing. MACNN-RLS must implement equivalent channel-substitution flexibility: when one processing pathway is compromised or unavailable, the architecture must detect this and route semantic integration through available alternative pathways.</w:t>
      </w:r>
    </w:p>
    <w:p>
      <w:pPr>
        <w:spacing w:before="0" w:after="0"/>
      </w:pPr>
      <w:r>
        <w:t xml:space="preserve"/>
      </w:r>
    </w:p>
    <w:p>
      <w:pPr>
        <w:pStyle w:val="Heading2"/>
        <w:spacing w:before="280" w:after="140"/>
      </w:pPr>
      <w:r>
        <w:rPr>
          <w:rFonts w:ascii="Arial" w:cs="Arial" w:eastAsia="Arial" w:hAnsi="Arial"/>
          <w:b/>
          <w:bCs/>
          <w:color w:val="1E4D8C"/>
          <w:sz w:val="26"/>
          <w:szCs w:val="26"/>
        </w:rPr>
        <w:t xml:space="preserve">4.3  Aphasia</w:t>
      </w:r>
    </w:p>
    <w:p>
      <w:pPr>
        <w:spacing w:before="80" w:after="120"/>
        <w:jc w:val="both"/>
      </w:pPr>
      <w:r>
        <w:rPr>
          <w:rFonts w:ascii="Arial" w:cs="Arial" w:eastAsia="Arial" w:hAnsi="Arial"/>
          <w:b w:val="false"/>
          <w:bCs w:val="false"/>
          <w:i w:val="false"/>
          <w:iCs w:val="false"/>
          <w:color w:val="1B2A4A"/>
          <w:sz w:val="22"/>
          <w:szCs w:val="22"/>
        </w:rPr>
        <w:t xml:space="preserve">Patients with aphasia experience damage to left-hemisphere language networks that would normally support the MTG-AG verbal metaphor pathway. Their compensatory strategy recruits right-hemisphere homologues to achieve partial recovery of metaphorical language understanding.</w:t>
      </w:r>
    </w:p>
    <w:p>
      <w:pPr>
        <w:spacing w:before="80" w:after="100"/>
      </w:pPr>
      <w:r>
        <w:rPr>
          <w:rFonts w:ascii="Arial" w:cs="Arial" w:eastAsia="Arial" w:hAnsi="Arial"/>
          <w:b/>
          <w:bCs/>
          <w:color w:val="1B2A4A"/>
          <w:sz w:val="22"/>
          <w:szCs w:val="22"/>
        </w:rPr>
        <w:t xml:space="preserve">Compensation mechanism: </w:t>
      </w:r>
      <w:r>
        <w:rPr>
          <w:rFonts w:ascii="Arial" w:cs="Arial" w:eastAsia="Arial" w:hAnsi="Arial"/>
          <w:color w:val="1B2A4A"/>
          <w:sz w:val="22"/>
          <w:szCs w:val="22"/>
        </w:rPr>
        <w:t xml:space="preserve">Enhanced compensatory activation of the right superior temporal sulcus (rSTS) and right inferior frontal gyrus (rIFG) during metaphor processing tasks. These right-hemisphere structures implement non-verbal pathway reconstruction of semantic associations, bypassing the damaged left-hemisphere language regions.</w:t>
      </w:r>
    </w:p>
    <w:p>
      <w:pPr>
        <w:spacing w:before="80" w:after="100"/>
      </w:pPr>
      <w:r>
        <w:rPr>
          <w:rFonts w:ascii="Arial" w:cs="Arial" w:eastAsia="Arial" w:hAnsi="Arial"/>
          <w:b/>
          <w:bCs/>
          <w:color w:val="1B2A4A"/>
          <w:sz w:val="22"/>
          <w:szCs w:val="22"/>
        </w:rPr>
        <w:t xml:space="preserve">Non-verbal channel advantage: </w:t>
      </w:r>
      <w:r>
        <w:rPr>
          <w:rFonts w:ascii="Arial" w:cs="Arial" w:eastAsia="Arial" w:hAnsi="Arial"/>
          <w:color w:val="1B2A4A"/>
          <w:sz w:val="22"/>
          <w:szCs w:val="22"/>
        </w:rPr>
        <w:t xml:space="preserve">The rehabilitation implication is direct — multimodal intervention that routes metaphorical content through visual and gestural channels activates the intact right-hemisphere pathway, potentially supporting durable recovery of metaphorical comprehension capacity beyond what purely linguistic therapy achieves.</w:t>
      </w:r>
    </w:p>
    <w:p>
      <w:pPr>
        <w:spacing w:before="80" w:after="100"/>
      </w:pPr>
      <w:r>
        <w:rPr>
          <w:rFonts w:ascii="Arial" w:cs="Arial" w:eastAsia="Arial" w:hAnsi="Arial"/>
          <w:b/>
          <w:bCs/>
          <w:color w:val="1B2A4A"/>
          <w:sz w:val="22"/>
          <w:szCs w:val="22"/>
        </w:rPr>
        <w:t xml:space="preserve">Architectural implication: </w:t>
      </w:r>
      <w:r>
        <w:rPr>
          <w:rFonts w:ascii="Arial" w:cs="Arial" w:eastAsia="Arial" w:hAnsi="Arial"/>
          <w:color w:val="1B2A4A"/>
          <w:sz w:val="22"/>
          <w:szCs w:val="22"/>
        </w:rPr>
        <w:t xml:space="preserve">Hemispheric migration in aphasia provides the neural proof-of-concept for MACNN-RLS's redundant pathway architecture: right-hemisphere processing agents serve as functional backups for left-hemisphere equivalents, with automatic pathway switching triggered when primary pathway confidence falls below threshold.</w:t>
      </w:r>
    </w:p>
    <w:p>
      <w:pPr>
        <w:spacing w:before="0" w:after="0"/>
      </w:pPr>
      <w:r>
        <w:t xml:space="preserve"/>
      </w:r>
    </w:p>
    <w:p>
      <w:pPr>
        <w:pStyle w:val="Heading2"/>
        <w:spacing w:before="280" w:after="140"/>
      </w:pPr>
      <w:r>
        <w:rPr>
          <w:rFonts w:ascii="Arial" w:cs="Arial" w:eastAsia="Arial" w:hAnsi="Arial"/>
          <w:b/>
          <w:bCs/>
          <w:color w:val="1E4D8C"/>
          <w:sz w:val="26"/>
          <w:szCs w:val="26"/>
        </w:rPr>
        <w:t xml:space="preserve">4.4  Deaf and Mute Populations</w:t>
      </w:r>
    </w:p>
    <w:p>
      <w:pPr>
        <w:spacing w:before="80" w:after="120"/>
        <w:jc w:val="both"/>
      </w:pPr>
      <w:r>
        <w:rPr>
          <w:rFonts w:ascii="Arial" w:cs="Arial" w:eastAsia="Arial" w:hAnsi="Arial"/>
          <w:b w:val="false"/>
          <w:bCs w:val="false"/>
          <w:i w:val="false"/>
          <w:iCs w:val="false"/>
          <w:color w:val="1B2A4A"/>
          <w:sz w:val="22"/>
          <w:szCs w:val="22"/>
        </w:rPr>
        <w:t xml:space="preserve">Congenitally deaf and mute individuals have developed a synergistic visual-spatial-tactile channel architecture that is not merely compensatory but represents an alternative metaphor processing system with distinct neural organization and processing advantages in spatial-abstract mappings.</w:t>
      </w:r>
    </w:p>
    <w:p>
      <w:pPr>
        <w:spacing w:before="80" w:after="100"/>
      </w:pPr>
      <w:r>
        <w:rPr>
          <w:rFonts w:ascii="Arial" w:cs="Arial" w:eastAsia="Arial" w:hAnsi="Arial"/>
          <w:b/>
          <w:bCs/>
          <w:color w:val="1B2A4A"/>
          <w:sz w:val="22"/>
          <w:szCs w:val="22"/>
        </w:rPr>
        <w:t xml:space="preserve">Sign language spatial metaphors: </w:t>
      </w:r>
      <w:r>
        <w:rPr>
          <w:rFonts w:ascii="Arial" w:cs="Arial" w:eastAsia="Arial" w:hAnsi="Arial"/>
          <w:color w:val="1B2A4A"/>
          <w:sz w:val="22"/>
          <w:szCs w:val="22"/>
        </w:rPr>
        <w:t xml:space="preserve">Spatial coding in sign language (e.g., gesture trajectory simulating time flow as 'time flows like water') activates the right parietal lobe spatial network. The rSTS and bilateral fusiform gyrus (bFG) show significantly stronger activation in congenitally deaf individuals than in hearing controls during sign language metaphor processing, with a more advantageous compensatory visual-motor pathway.</w:t>
      </w:r>
    </w:p>
    <w:p>
      <w:pPr>
        <w:spacing w:before="80" w:after="100"/>
      </w:pPr>
      <w:r>
        <w:rPr>
          <w:rFonts w:ascii="Arial" w:cs="Arial" w:eastAsia="Arial" w:hAnsi="Arial"/>
          <w:b/>
          <w:bCs/>
          <w:color w:val="1B2A4A"/>
          <w:sz w:val="22"/>
          <w:szCs w:val="22"/>
        </w:rPr>
        <w:t xml:space="preserve">Haptic-vibration channel: </w:t>
      </w:r>
      <w:r>
        <w:rPr>
          <w:rFonts w:ascii="Arial" w:cs="Arial" w:eastAsia="Arial" w:hAnsi="Arial"/>
          <w:color w:val="1B2A4A"/>
          <w:sz w:val="22"/>
          <w:szCs w:val="22"/>
        </w:rPr>
        <w:t xml:space="preserve">Haptic devices converting speech prosody to tactile rhythm (high-frequency vibrations encoding excitement, low-frequency encoding calm) activate the left somatosensory cortex and supplementary motor area (SMA), inducing cross-modal plasticity recombination that enables prosodic metaphorical information to be processed through tactile channels.</w:t>
      </w:r>
    </w:p>
    <w:p>
      <w:pPr>
        <w:spacing w:before="80" w:after="100"/>
      </w:pPr>
      <w:r>
        <w:rPr>
          <w:rFonts w:ascii="Arial" w:cs="Arial" w:eastAsia="Arial" w:hAnsi="Arial"/>
          <w:b/>
          <w:bCs/>
          <w:color w:val="1B2A4A"/>
          <w:sz w:val="22"/>
          <w:szCs w:val="22"/>
        </w:rPr>
        <w:t xml:space="preserve">Architectural implication: </w:t>
      </w:r>
      <w:r>
        <w:rPr>
          <w:rFonts w:ascii="Arial" w:cs="Arial" w:eastAsia="Arial" w:hAnsi="Arial"/>
          <w:color w:val="1B2A4A"/>
          <w:sz w:val="22"/>
          <w:szCs w:val="22"/>
        </w:rPr>
        <w:t xml:space="preserve">The deaf-mute architecture demonstrates that spatial coding and tactile rhythm can fully substitute for phonological-prosodic metaphorical channels. MACNN-RLS's Multimodal Semantic Integration Layer must implement equivalent spatial-abstract and haptic-semantic binding capabilities, not as special-case accommodations but as first-class processing pathways.</w:t>
      </w:r>
    </w:p>
    <w:p>
      <w:pPr>
        <w:spacing w:before="0" w:after="0"/>
      </w:pPr>
      <w:r>
        <w:t xml:space="preserve"/>
      </w:r>
    </w:p>
    <w:p>
      <w:pPr>
        <w:pStyle w:val="Heading2"/>
        <w:spacing w:before="280" w:after="140"/>
      </w:pPr>
      <w:r>
        <w:rPr>
          <w:rFonts w:ascii="Arial" w:cs="Arial" w:eastAsia="Arial" w:hAnsi="Arial"/>
          <w:b/>
          <w:bCs/>
          <w:color w:val="1E4D8C"/>
          <w:sz w:val="26"/>
          <w:szCs w:val="26"/>
        </w:rPr>
        <w:t xml:space="preserve">4.5  Compensation Mechanisms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Population</w:t>
            </w:r>
          </w:p>
        </w:tc>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Primary Deficit</w:t>
            </w:r>
          </w:p>
        </w:tc>
        <w:tc>
          <w:tcPr>
            <w:tcW w:type="dxa" w:w="3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Compensation Mechanism</w:t>
            </w:r>
          </w:p>
        </w:tc>
        <w:tc>
          <w:tcPr>
            <w:tcW w:type="dxa" w:w="2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Processing Profile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Autism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Linguistic-abstract deficit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Visual-tactile channel enhancement; rTPJ functional reorganization; mirror system remodeling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Concrete-dominant metaphors processed near-normally; abstract-novel metaphors show persistent LPC abnormality</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Aphasia</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Left-hemisphere language network damage</w:t>
            </w:r>
          </w:p>
        </w:tc>
        <w:tc>
          <w:tcPr>
            <w:tcW w:type="dxa" w:w="3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Right-hemisphere pathway recruitment: rSTS + rIFG compensatory activation</w:t>
            </w:r>
          </w:p>
        </w:tc>
        <w:tc>
          <w:tcPr>
            <w:tcW w:type="dxa" w:w="2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Partial metaphor comprehension recovery; visual-gestural intervention accelerates recovery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Deaf-Mute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Auditory-phonological channel absence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Visual-spatial-tactile architecture: right parietal spatial network; bFG enhancement; haptic-vibration SMA activation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Processing superiority in spatial-abstract metaphors; below-average in prosodic-emotional metaphors without haptic augmentation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8D7DA"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compensation mechanisms across all three populations converge on a single architectural principle: the brain implements metaphor processing through whatever sensorimotor channels are available and intact, reorganizing its network connectivity to maximize the use of those channels. MACNN-RLS v3.0 implements this as the Channel Availability Protocol — a runtime architecture adaptation system that continuously monitors pathway performance and dynamically reroutes semantic integration through the highest-performing available channels.</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V: The Multimodal Semantic Integration Layer (New in v3.0)</w:t>
      </w:r>
    </w:p>
    <w:p>
      <w:pPr>
        <w:pStyle w:val="Heading2"/>
        <w:spacing w:before="280" w:after="140"/>
      </w:pPr>
      <w:r>
        <w:rPr>
          <w:rFonts w:ascii="Arial" w:cs="Arial" w:eastAsia="Arial" w:hAnsi="Arial"/>
          <w:b/>
          <w:bCs/>
          <w:color w:val="1E4D8C"/>
          <w:sz w:val="26"/>
          <w:szCs w:val="26"/>
        </w:rPr>
        <w:t xml:space="preserve">5.1  Architectural Position and Motivation</w:t>
      </w:r>
    </w:p>
    <w:p>
      <w:pPr>
        <w:spacing w:before="80" w:after="120"/>
        <w:jc w:val="both"/>
      </w:pPr>
      <w:r>
        <w:rPr>
          <w:rFonts w:ascii="Arial" w:cs="Arial" w:eastAsia="Arial" w:hAnsi="Arial"/>
          <w:b w:val="false"/>
          <w:bCs w:val="false"/>
          <w:i w:val="false"/>
          <w:iCs w:val="false"/>
          <w:color w:val="1B2A4A"/>
          <w:sz w:val="22"/>
          <w:szCs w:val="22"/>
        </w:rPr>
        <w:t xml:space="preserve">Version 3.0 adds a dedicated Multimodal Semantic Integration Layer between the Deep Feature Encoding Tier (Tier 3) and the Executive Reasoning Tier (Tier 4). This layer implements the AG's universal cross-domain binding function computationally, providing the system with the ability to construct abstract conceptual representations from any combination of verbal and non-verbal inputs, to detect and resolve cross-modal semantic conflicts, and to adapt its integration strategy based on channel availability and individual user profiles.</w:t>
      </w:r>
    </w:p>
    <w:p>
      <w:pPr>
        <w:spacing w:before="80" w:after="120"/>
        <w:jc w:val="both"/>
      </w:pPr>
      <w:r>
        <w:rPr>
          <w:rFonts w:ascii="Arial" w:cs="Arial" w:eastAsia="Arial" w:hAnsi="Arial"/>
          <w:b w:val="false"/>
          <w:bCs w:val="false"/>
          <w:i w:val="false"/>
          <w:iCs w:val="false"/>
          <w:color w:val="1B2A4A"/>
          <w:sz w:val="22"/>
          <w:szCs w:val="22"/>
        </w:rPr>
        <w:t xml:space="preserve">The layer contains two new agents (Agents 11 and 12) and adds significant new capabilities to the existing LLM Cognitive Interface Agent (Agent 10). These additions bring the total agent count to twelve.</w:t>
      </w:r>
    </w:p>
    <w:p>
      <w:pPr>
        <w:pStyle w:val="Heading2"/>
        <w:spacing w:before="280" w:after="140"/>
      </w:pPr>
      <w:r>
        <w:rPr>
          <w:rFonts w:ascii="Arial" w:cs="Arial" w:eastAsia="Arial" w:hAnsi="Arial"/>
          <w:b/>
          <w:bCs/>
          <w:color w:val="1E4D8C"/>
          <w:sz w:val="26"/>
          <w:szCs w:val="26"/>
        </w:rPr>
        <w:t xml:space="preserve">5.2  Agent 11: The Angular Gyrus Integration Agent</w:t>
      </w:r>
    </w:p>
    <w:p>
      <w:pPr>
        <w:spacing w:before="80" w:after="120"/>
        <w:jc w:val="both"/>
      </w:pPr>
      <w:r>
        <w:rPr>
          <w:rFonts w:ascii="Arial" w:cs="Arial" w:eastAsia="Arial" w:hAnsi="Arial"/>
          <w:b w:val="false"/>
          <w:bCs w:val="false"/>
          <w:i w:val="false"/>
          <w:iCs w:val="false"/>
          <w:color w:val="1B2A4A"/>
          <w:sz w:val="22"/>
          <w:szCs w:val="22"/>
        </w:rPr>
        <w:t xml:space="preserve">The Angular Gyrus Integration Agent (AGIA) is the computational implementation of the AG's universal cross-domain binding function. It receives TFPF voxels from the Limbic Feature Agent (Agent 5) and semantic vectors from the Hippocampal Memory Agent (Agent 4), and performs the following operations:</w:t>
      </w:r>
    </w:p>
    <w:p>
      <w:pPr>
        <w:pStyle w:val="Heading3"/>
        <w:spacing w:before="200" w:after="100"/>
      </w:pPr>
      <w:r>
        <w:rPr>
          <w:rFonts w:ascii="Arial" w:cs="Arial" w:eastAsia="Arial" w:hAnsi="Arial"/>
          <w:b/>
          <w:bCs/>
          <w:color w:val="2E75B6"/>
          <w:sz w:val="22"/>
          <w:szCs w:val="22"/>
        </w:rPr>
        <w:t xml:space="preserve">5.2.1  Cross-Domain Mapping</w:t>
      </w:r>
    </w:p>
    <w:p>
      <w:pPr>
        <w:spacing w:before="80" w:after="120"/>
        <w:jc w:val="both"/>
      </w:pPr>
      <w:r>
        <w:rPr>
          <w:rFonts w:ascii="Arial" w:cs="Arial" w:eastAsia="Arial" w:hAnsi="Arial"/>
          <w:b w:val="false"/>
          <w:bCs w:val="false"/>
          <w:i w:val="false"/>
          <w:iCs w:val="false"/>
          <w:color w:val="1B2A4A"/>
          <w:sz w:val="22"/>
          <w:szCs w:val="22"/>
        </w:rPr>
        <w:t xml:space="preserve">For each incoming representation, the AGIA maintains a source domain (the concrete sensorimotor input — visual, gestural, tactile, or linguistic) and constructs a mapping to the abstract target domain (the conceptual meaning). This mapping is implemented as a compliance matrix in the spirit of the PMP: different feature dimensions of the source domain are weighted by their learned relevance to the current target domain, and the highest-weighted dimensions are used to construct the cross-domain association.</w:t>
      </w:r>
    </w:p>
    <w:p>
      <w:pPr>
        <w:spacing w:before="80" w:after="120"/>
        <w:jc w:val="both"/>
      </w:pPr>
      <w:r>
        <w:rPr>
          <w:rFonts w:ascii="Arial" w:cs="Arial" w:eastAsia="Arial" w:hAnsi="Arial"/>
          <w:b w:val="false"/>
          <w:bCs w:val="false"/>
          <w:i w:val="false"/>
          <w:iCs w:val="false"/>
          <w:color w:val="1B2A4A"/>
          <w:sz w:val="22"/>
          <w:szCs w:val="22"/>
        </w:rPr>
        <w:t xml:space="preserve">The mapping is learned through the circular reaction strategy during initialization: the AGIA performs random cross-domain association trials, records which associations produce coherent conceptual representations (validated by the Prefrontal Executive Agent), and updates the compliance matrix weights accordingly. No supervised labels are required — the coherence criterion is self-generated.</w:t>
      </w:r>
    </w:p>
    <w:p>
      <w:pPr>
        <w:pStyle w:val="Heading3"/>
        <w:spacing w:before="200" w:after="100"/>
      </w:pPr>
      <w:r>
        <w:rPr>
          <w:rFonts w:ascii="Arial" w:cs="Arial" w:eastAsia="Arial" w:hAnsi="Arial"/>
          <w:b/>
          <w:bCs/>
          <w:color w:val="2E75B6"/>
          <w:sz w:val="22"/>
          <w:szCs w:val="22"/>
        </w:rPr>
        <w:t xml:space="preserve">5.2.2  Gamma Synchronization Monitoring</w:t>
      </w:r>
    </w:p>
    <w:p>
      <w:pPr>
        <w:spacing w:before="80" w:after="120"/>
        <w:jc w:val="both"/>
      </w:pPr>
      <w:r>
        <w:rPr>
          <w:rFonts w:ascii="Arial" w:cs="Arial" w:eastAsia="Arial" w:hAnsi="Arial"/>
          <w:b w:val="false"/>
          <w:bCs w:val="false"/>
          <w:i w:val="false"/>
          <w:iCs w:val="false"/>
          <w:color w:val="1B2A4A"/>
          <w:sz w:val="22"/>
          <w:szCs w:val="22"/>
        </w:rPr>
        <w:t xml:space="preserve">The AGIA continuously monitors the coherence values in the TFPF voxels received from Agent 5, specifically in the parieto-temporal region. Elevated gamma-band coherence (COH metric in TFPF) is the signal that cross-modal binding is occurring and that the integration process is computationally expensive (novel metaphor) or efficient (familiar metaphor). The AGIA uses this signal to:</w:t>
      </w:r>
    </w:p>
    <w:p>
      <w:pPr>
        <w:pStyle w:val="ListParagraph"/>
        <w:numPr>
          <w:ilvl w:val="0"/>
          <w:numId w:val="2"/>
        </w:numPr>
        <w:spacing w:before="60" w:after="60"/>
      </w:pPr>
      <w:r>
        <w:rPr>
          <w:rFonts w:ascii="Arial" w:cs="Arial" w:eastAsia="Arial" w:hAnsi="Arial"/>
          <w:color w:val="1B2A4A"/>
          <w:sz w:val="22"/>
          <w:szCs w:val="22"/>
        </w:rPr>
        <w:t xml:space="preserve">Allocate additional computational resources when coherence is low (novel mapping, high integration cost)</w:t>
      </w:r>
    </w:p>
    <w:p>
      <w:pPr>
        <w:pStyle w:val="ListParagraph"/>
        <w:numPr>
          <w:ilvl w:val="0"/>
          <w:numId w:val="2"/>
        </w:numPr>
        <w:spacing w:before="60" w:after="60"/>
      </w:pPr>
      <w:r>
        <w:rPr>
          <w:rFonts w:ascii="Arial" w:cs="Arial" w:eastAsia="Arial" w:hAnsi="Arial"/>
          <w:color w:val="1B2A4A"/>
          <w:sz w:val="22"/>
          <w:szCs w:val="22"/>
        </w:rPr>
        <w:t xml:space="preserve">Flag familiar mappings for habit compilation in the Basal Ganglia Agent (high coherence, low cost — eligible for policy caching)</w:t>
      </w:r>
    </w:p>
    <w:p>
      <w:pPr>
        <w:pStyle w:val="ListParagraph"/>
        <w:numPr>
          <w:ilvl w:val="0"/>
          <w:numId w:val="2"/>
        </w:numPr>
        <w:spacing w:before="60" w:after="60"/>
      </w:pPr>
      <w:r>
        <w:rPr>
          <w:rFonts w:ascii="Arial" w:cs="Arial" w:eastAsia="Arial" w:hAnsi="Arial"/>
          <w:color w:val="1B2A4A"/>
          <w:sz w:val="22"/>
          <w:szCs w:val="22"/>
        </w:rPr>
        <w:t xml:space="preserve">Detect integration failures (coherence collapse across all channel pairs) and trigger the Channel Availability Protocol</w:t>
      </w:r>
    </w:p>
    <w:p>
      <w:pPr>
        <w:spacing w:before="0" w:after="0"/>
      </w:pPr>
      <w:r>
        <w:t xml:space="preserve"/>
      </w:r>
    </w:p>
    <w:p>
      <w:pPr>
        <w:pStyle w:val="Heading3"/>
        <w:spacing w:before="200" w:after="100"/>
      </w:pPr>
      <w:r>
        <w:rPr>
          <w:rFonts w:ascii="Arial" w:cs="Arial" w:eastAsia="Arial" w:hAnsi="Arial"/>
          <w:b/>
          <w:bCs/>
          <w:color w:val="2E75B6"/>
          <w:sz w:val="22"/>
          <w:szCs w:val="22"/>
        </w:rPr>
        <w:t xml:space="preserve">5.2.3  N400-P600-LPC Emulation</w:t>
      </w:r>
    </w:p>
    <w:p>
      <w:pPr>
        <w:spacing w:before="80" w:after="120"/>
        <w:jc w:val="both"/>
      </w:pPr>
      <w:r>
        <w:rPr>
          <w:rFonts w:ascii="Arial" w:cs="Arial" w:eastAsia="Arial" w:hAnsi="Arial"/>
          <w:b w:val="false"/>
          <w:bCs w:val="false"/>
          <w:i w:val="false"/>
          <w:iCs w:val="false"/>
          <w:color w:val="1B2A4A"/>
          <w:sz w:val="22"/>
          <w:szCs w:val="22"/>
        </w:rPr>
        <w:t xml:space="preserve">The AGIA implements a three-stage processing sequence that mirrors the ERP dynamics of biological metaphor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2600"/>
        <w:gridCol w:w="1560"/>
      </w:tblGrid>
      <w:tr>
        <w:trPr>
          <w:tblHeader/>
        </w:trPr>
        <w:tc>
          <w:tcPr>
            <w:tcW w:type="dxa" w:w="1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Stage</w:t>
            </w:r>
          </w:p>
        </w:tc>
        <w:tc>
          <w:tcPr>
            <w:tcW w:type="dxa" w:w="1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Time Window</w:t>
            </w:r>
          </w:p>
        </w:tc>
        <w:tc>
          <w:tcPr>
            <w:tcW w:type="dxa" w:w="2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Function</w:t>
            </w:r>
          </w:p>
        </w:tc>
        <w:tc>
          <w:tcPr>
            <w:tcW w:type="dxa" w:w="2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Operation</w:t>
            </w:r>
          </w:p>
        </w:tc>
        <w:tc>
          <w:tcPr>
            <w:tcW w:type="dxa" w:w="15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N400 analog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0–500ms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Initial semantic integration attempt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Compute binding cost between source and target domain representations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High cost → allocate extended resources; Low cost → proceed to stage 2</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P600 analog</w:t>
            </w:r>
          </w:p>
        </w:tc>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500–800ms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Conflict detection and reanalysis</w:t>
            </w:r>
          </w:p>
        </w:tc>
        <w:tc>
          <w:tcPr>
            <w:tcW w:type="dxa" w:w="2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Check for literal-metaphorical conflict; invoke cognitive inhibition if needed</w:t>
            </w:r>
          </w:p>
        </w:tc>
        <w:tc>
          <w:tcPr>
            <w:tcW w:type="dxa" w:w="1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Conflict detected → PFC modulation request; No conflict → proceed to stage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LPC analog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500–900ms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Situational model integration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Integrate resolved metaphorical meaning into current situational model; tag for episodic encoding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High emotional valence → amygdala coupling flag; Durable encoding → hippocampal consolidation request</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5.3  Agent 12: The Context and Culture Regulation Agent</w:t>
      </w:r>
    </w:p>
    <w:p>
      <w:pPr>
        <w:spacing w:before="80" w:after="120"/>
        <w:jc w:val="both"/>
      </w:pPr>
      <w:r>
        <w:rPr>
          <w:rFonts w:ascii="Arial" w:cs="Arial" w:eastAsia="Arial" w:hAnsi="Arial"/>
          <w:b w:val="false"/>
          <w:bCs w:val="false"/>
          <w:i w:val="false"/>
          <w:iCs w:val="false"/>
          <w:color w:val="1B2A4A"/>
          <w:sz w:val="22"/>
          <w:szCs w:val="22"/>
        </w:rPr>
        <w:t xml:space="preserve">The Context and Culture Regulation Agent (CCRA) implements the three-dimensional regulatory framework identified in the metaphor processing literature: knowledge and experience, contextual information, and individual differences. It operates as a pre-processing gate on all inputs to the AGIA, activating and filtering the appropriate subset of the knowledge base before the cross-domain mapping is attempted.</w:t>
      </w:r>
    </w:p>
    <w:p>
      <w:pPr>
        <w:pStyle w:val="Heading3"/>
        <w:spacing w:before="200" w:after="100"/>
      </w:pPr>
      <w:r>
        <w:rPr>
          <w:rFonts w:ascii="Arial" w:cs="Arial" w:eastAsia="Arial" w:hAnsi="Arial"/>
          <w:b/>
          <w:bCs/>
          <w:color w:val="2E75B6"/>
          <w:sz w:val="22"/>
          <w:szCs w:val="22"/>
        </w:rPr>
        <w:t xml:space="preserve">5.3.1  Knowledge and Experience Module</w:t>
      </w:r>
    </w:p>
    <w:p>
      <w:pPr>
        <w:spacing w:before="80" w:after="120"/>
        <w:jc w:val="both"/>
      </w:pPr>
      <w:r>
        <w:rPr>
          <w:rFonts w:ascii="Arial" w:cs="Arial" w:eastAsia="Arial" w:hAnsi="Arial"/>
          <w:b w:val="false"/>
          <w:bCs w:val="false"/>
          <w:i w:val="false"/>
          <w:iCs w:val="false"/>
          <w:color w:val="1B2A4A"/>
          <w:sz w:val="22"/>
          <w:szCs w:val="22"/>
        </w:rPr>
        <w:t xml:space="preserve">The CCRA maintains two knowledge stores. The cultural knowledge store contains metaphorical schemas indexed by cultural group — the divergent symbolism of 'dragon' in Chinese versus Western contexts, the diplomatic metaphors activated by formal negotiation settings, the commercial metaphors activated by advertising contexts. These schemas are initialized from corpus data and updated through interaction. The embodied knowledge store contains sensorimotor experiential mappings — the warm-friendly association, the ascending-progress mapping, the silky-smooth experiential link — derived from the circular reaction bootstrap and updated through ongoing agent-environment interaction.</w:t>
      </w:r>
    </w:p>
    <w:p>
      <w:pPr>
        <w:pStyle w:val="Heading3"/>
        <w:spacing w:before="200" w:after="100"/>
      </w:pPr>
      <w:r>
        <w:rPr>
          <w:rFonts w:ascii="Arial" w:cs="Arial" w:eastAsia="Arial" w:hAnsi="Arial"/>
          <w:b/>
          <w:bCs/>
          <w:color w:val="2E75B6"/>
          <w:sz w:val="22"/>
          <w:szCs w:val="22"/>
        </w:rPr>
        <w:t xml:space="preserve">5.3.2  Contextual Filtering Module</w:t>
      </w:r>
    </w:p>
    <w:p>
      <w:pPr>
        <w:spacing w:before="80" w:after="120"/>
        <w:jc w:val="both"/>
      </w:pPr>
      <w:r>
        <w:rPr>
          <w:rFonts w:ascii="Arial" w:cs="Arial" w:eastAsia="Arial" w:hAnsi="Arial"/>
          <w:b w:val="false"/>
          <w:bCs w:val="false"/>
          <w:i w:val="false"/>
          <w:iCs w:val="false"/>
          <w:color w:val="1B2A4A"/>
          <w:sz w:val="22"/>
          <w:szCs w:val="22"/>
        </w:rPr>
        <w:t xml:space="preserve">The CCRA implements a 'cognitive sieve' function: given the current communicative context (verbal cues, non-verbal cues, participant relationships, shared background), it pre-activates the relevant subset of the knowledge store and suppresses irrelevant associations. Strong contexts (shared background, familiar participants) produce sharp, efficient pre-activation. Weak contexts (cross-cultural, unfamiliar) produce diffuse pre-activation across multiple candidate schemas, requiring the AGIA to perform more extensive disambiguation — correctly increasing computational cost in a way that mirrors the behavioral and neural data.</w:t>
      </w:r>
    </w:p>
    <w:p>
      <w:pPr>
        <w:pStyle w:val="Heading3"/>
        <w:spacing w:before="200" w:after="100"/>
      </w:pPr>
      <w:r>
        <w:rPr>
          <w:rFonts w:ascii="Arial" w:cs="Arial" w:eastAsia="Arial" w:hAnsi="Arial"/>
          <w:b/>
          <w:bCs/>
          <w:color w:val="2E75B6"/>
          <w:sz w:val="22"/>
          <w:szCs w:val="22"/>
        </w:rPr>
        <w:t xml:space="preserve">5.3.3  Individual Adaptation Module</w:t>
      </w:r>
    </w:p>
    <w:p>
      <w:pPr>
        <w:spacing w:before="80" w:after="120"/>
        <w:jc w:val="both"/>
      </w:pPr>
      <w:r>
        <w:rPr>
          <w:rFonts w:ascii="Arial" w:cs="Arial" w:eastAsia="Arial" w:hAnsi="Arial"/>
          <w:b w:val="false"/>
          <w:bCs w:val="false"/>
          <w:i w:val="false"/>
          <w:iCs w:val="false"/>
          <w:color w:val="1B2A4A"/>
          <w:sz w:val="22"/>
          <w:szCs w:val="22"/>
        </w:rPr>
        <w:t xml:space="preserve">The CCRA maintains a longitudinal model of each interaction partner's cognitive style, cultural background, and channel preferences. Field-dependent partners receive context-rich, external-cue-prominent metaphorical representations. Field-independent partners receive schema-prominent, analytically structured representations. Cultural background modulates the default DMN/DAN balance: East Asian interaction patterns receive context-dependent DMN-dominant processing frames; Western patterns receive goal-directed VAN-dominant frames. This individual adaptation is shared with the LLM Cognitive Interface Agent (Agent 10) to ensure coherent, personalized communication.</w:t>
      </w:r>
    </w:p>
    <w:p>
      <w:pPr>
        <w:pStyle w:val="Heading2"/>
        <w:spacing w:before="280" w:after="140"/>
      </w:pPr>
      <w:r>
        <w:rPr>
          <w:rFonts w:ascii="Arial" w:cs="Arial" w:eastAsia="Arial" w:hAnsi="Arial"/>
          <w:b/>
          <w:bCs/>
          <w:color w:val="1E4D8C"/>
          <w:sz w:val="26"/>
          <w:szCs w:val="26"/>
        </w:rPr>
        <w:t xml:space="preserve">5.4  Channel Availability Protocol</w:t>
      </w:r>
    </w:p>
    <w:p>
      <w:pPr>
        <w:spacing w:before="80" w:after="120"/>
        <w:jc w:val="both"/>
      </w:pPr>
      <w:r>
        <w:rPr>
          <w:rFonts w:ascii="Arial" w:cs="Arial" w:eastAsia="Arial" w:hAnsi="Arial"/>
          <w:b w:val="false"/>
          <w:bCs w:val="false"/>
          <w:i w:val="false"/>
          <w:iCs w:val="false"/>
          <w:color w:val="1B2A4A"/>
          <w:sz w:val="22"/>
          <w:szCs w:val="22"/>
        </w:rPr>
        <w:t xml:space="preserve">The Channel Availability Protocol (CAP) is a runtime architecture adaptation system that implements the neuroplastic compensation logic observed in special populations. It continuously monitors the confidence and throughput of each processing pathway and dynamically reroutes semantic integration when primary pathways underperform.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Trigger Condition</w:t>
            </w:r>
          </w:p>
        </w:tc>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Detection Criterion</w:t>
            </w:r>
          </w:p>
        </w:tc>
        <w:tc>
          <w:tcPr>
            <w:tcW w:type="dxa" w:w="45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Adaptation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Primary verbal pathway degraded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Confidence &lt; 0.4 on verbal TFPF channel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Route to visual-gestural pathway; increase AGIA weight on visual COH features; notify LLM Agent to shift to non-verbal communication style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Cross-modal binding failure</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AGIA coherence collapse across all channels</w:t>
            </w:r>
          </w:p>
        </w:tc>
        <w:tc>
          <w:tcPr>
            <w:tcW w:type="dxa" w:w="4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Activate concrete-dominant fallback: decompose metaphor into literal component + explicit analogical bridge; flag for human partner clarification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Novel metaphor, high integration 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N400 analog stage cost &gt; threshold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Extend processing window; request additional contextual cues from LLM Agent; consider GAN counterfactual to pre-generate candidate target domain mappings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Partner-specific channel preference</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Longitudinal model indicates visual-dominant profile</w:t>
            </w:r>
          </w:p>
        </w:tc>
        <w:tc>
          <w:tcPr>
            <w:tcW w:type="dxa" w:w="4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Increase weight on visual TFPF features; prefer image-based metaphor construction in LLM Agent outputs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Cultural mismatch detected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Source domain symbol conflicts with partner cultural schema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CCRA activates cross-cultural disambiguation; explicit metaphor unpacking offered by LLM Agent</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VI: Complete Twelve-Agent Architecture</w:t>
      </w:r>
    </w:p>
    <w:p>
      <w:pPr>
        <w:pStyle w:val="Heading2"/>
        <w:spacing w:before="280" w:after="140"/>
      </w:pPr>
      <w:r>
        <w:rPr>
          <w:rFonts w:ascii="Arial" w:cs="Arial" w:eastAsia="Arial" w:hAnsi="Arial"/>
          <w:b/>
          <w:bCs/>
          <w:color w:val="1E4D8C"/>
          <w:sz w:val="26"/>
          <w:szCs w:val="26"/>
        </w:rPr>
        <w:t xml:space="preserve">6.1  Agent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80"/>
        <w:gridCol w:w="3400"/>
        <w:gridCol w:w="1520"/>
      </w:tblGrid>
      <w:tr>
        <w:trPr>
          <w:tblHeader/>
        </w:trPr>
        <w:tc>
          <w:tcPr>
            <w:tcW w:type="dxa" w:w="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t>
            </w:r>
          </w:p>
        </w:tc>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Agent</w:t>
            </w:r>
          </w:p>
        </w:tc>
        <w:tc>
          <w:tcPr>
            <w:tcW w:type="dxa" w:w="48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Tier</w:t>
            </w:r>
          </w:p>
        </w:tc>
        <w:tc>
          <w:tcPr>
            <w:tcW w:type="dxa" w:w="3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Primary Function</w:t>
            </w:r>
          </w:p>
        </w:tc>
        <w:tc>
          <w:tcPr>
            <w:tcW w:type="dxa" w:w="152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Learning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Brainstem Agent</w:t>
            </w:r>
          </w:p>
        </w:tc>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ICA filtering, sliding window, multi-modal normalization, autonomic monitoring</w:t>
            </w:r>
          </w:p>
        </w:tc>
        <w:tc>
          <w:tcPr>
            <w:tcW w:type="dxa" w:w="1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Deterministic; no learning</w:t>
            </w:r>
          </w:p>
        </w:tc>
      </w:tr>
      <w:tr>
        <w:tc>
          <w:tcPr>
            <w:tcW w:type="dxa" w:w="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Thalamic Relay Agent</w:t>
            </w:r>
          </w:p>
        </w:tc>
        <w:tc>
          <w:tcPr>
            <w:tcW w:type="dxa" w:w="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T2</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Attention-weighted routing, top-down gating, PCA compression</w:t>
            </w:r>
          </w:p>
        </w:tc>
        <w:tc>
          <w:tcPr>
            <w:tcW w:type="dxa" w:w="152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Salience map updated by RL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Basal Ganglia Agent</w:t>
            </w:r>
          </w:p>
        </w:tc>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TD(λ) Q-learning, reward prediction error, habit compilation</w:t>
            </w:r>
          </w:p>
        </w:tc>
        <w:tc>
          <w:tcPr>
            <w:tcW w:type="dxa" w:w="1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Continuous RL</w:t>
            </w:r>
          </w:p>
        </w:tc>
      </w:tr>
      <w:tr>
        <w:tc>
          <w:tcPr>
            <w:tcW w:type="dxa" w:w="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4</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Hippocampal Memory Agent</w:t>
            </w:r>
          </w:p>
        </w:tc>
        <w:tc>
          <w:tcPr>
            <w:tcW w:type="dxa" w:w="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T3</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Dual CLS encoding, offline replay, associative retrieval</w:t>
            </w:r>
          </w:p>
        </w:tc>
        <w:tc>
          <w:tcPr>
            <w:tcW w:type="dxa" w:w="152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Hebbian + replay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Limbic Feature Agent</w:t>
            </w:r>
          </w:p>
        </w:tc>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3D-CNN-GAN, TFPF voxel generation, gamma coherence extraction</w:t>
            </w:r>
          </w:p>
        </w:tc>
        <w:tc>
          <w:tcPr>
            <w:tcW w:type="dxa" w:w="1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Adversarial training</w:t>
            </w:r>
          </w:p>
        </w:tc>
      </w:tr>
      <w:tr>
        <w:tc>
          <w:tcPr>
            <w:tcW w:type="dxa" w:w="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6</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Cingulate Control Agent</w:t>
            </w:r>
          </w:p>
        </w:tc>
        <w:tc>
          <w:tcPr>
            <w:tcW w:type="dxa" w:w="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T3</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Conflict detection, exploration-exploitation, escalation flags</w:t>
            </w:r>
          </w:p>
        </w:tc>
        <w:tc>
          <w:tcPr>
            <w:tcW w:type="dxa" w:w="152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Threshold monitoring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PMP Synergy Agent</w:t>
            </w:r>
          </w:p>
        </w:tc>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Dual-TRN Jacobian learning, terminal attractor, compliance adaptation</w:t>
            </w:r>
          </w:p>
        </w:tc>
        <w:tc>
          <w:tcPr>
            <w:tcW w:type="dxa" w:w="1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Circular reaction + Hebbian</w:t>
            </w:r>
          </w:p>
        </w:tc>
      </w:tr>
      <w:tr>
        <w:tc>
          <w:tcPr>
            <w:tcW w:type="dxa" w:w="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8</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Prefrontal Executive Agent</w:t>
            </w:r>
          </w:p>
        </w:tc>
        <w:tc>
          <w:tcPr>
            <w:tcW w:type="dxa" w:w="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T4</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Goal maintenance, counterfactual simulation, top-down modulation</w:t>
            </w:r>
          </w:p>
        </w:tc>
        <w:tc>
          <w:tcPr>
            <w:tcW w:type="dxa" w:w="152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All learning modes combined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Intermittent Control Agent</w:t>
            </w:r>
          </w:p>
        </w:tc>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Cross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Loop open/close management, energy budget, quantum noise injection</w:t>
            </w:r>
          </w:p>
        </w:tc>
        <w:tc>
          <w:tcPr>
            <w:tcW w:type="dxa" w:w="1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Saddle-state geometry</w:t>
            </w:r>
          </w:p>
        </w:tc>
      </w:tr>
      <w:tr>
        <w:tc>
          <w:tcPr>
            <w:tcW w:type="dxa" w:w="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10</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LLM Cognitive Interface Agent</w:t>
            </w:r>
          </w:p>
        </w:tc>
        <w:tc>
          <w:tcPr>
            <w:tcW w:type="dxa" w:w="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Human</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Partner load monitoring, expertise preservation, decision autonomy, cultural adaptation</w:t>
            </w:r>
          </w:p>
        </w:tc>
        <w:tc>
          <w:tcPr>
            <w:tcW w:type="dxa" w:w="152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Longitudinal partner model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Angular Gyrus Integration Agent</w:t>
            </w:r>
          </w:p>
        </w:tc>
        <w:tc>
          <w:tcPr>
            <w:tcW w:type="dxa" w:w="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MSIL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Cross-domain binding, N400-P600-LPC emulation, gamma monitoring, CAP coordination</w:t>
            </w:r>
          </w:p>
        </w:tc>
        <w:tc>
          <w:tcPr>
            <w:tcW w:type="dxa" w:w="1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Compliance matrix + circular reaction</w:t>
            </w:r>
          </w:p>
        </w:tc>
      </w:tr>
      <w:tr>
        <w:tc>
          <w:tcPr>
            <w:tcW w:type="dxa" w:w="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12</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Context &amp; Culture Regulation Agent</w:t>
            </w:r>
          </w:p>
        </w:tc>
        <w:tc>
          <w:tcPr>
            <w:tcW w:type="dxa" w:w="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MSIL</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Knowledge/experience activation, contextual filtering, individual adaptation, cultural schema management</w:t>
            </w:r>
          </w:p>
        </w:tc>
        <w:tc>
          <w:tcPr>
            <w:tcW w:type="dxa" w:w="152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Cultural corpus + longitudinal model</w:t>
            </w:r>
          </w:p>
        </w:tc>
      </w:tr>
    </w:tbl>
    <w:p>
      <w:pPr>
        <w:spacing w:before="0" w:after="0"/>
      </w:pPr>
      <w:r>
        <w:t xml:space="preserve"/>
      </w:r>
    </w:p>
    <w:p>
      <w:pPr>
        <w:spacing w:before="80" w:after="120"/>
        <w:jc w:val="both"/>
      </w:pPr>
      <w:r>
        <w:rPr>
          <w:rFonts w:ascii="Arial" w:cs="Arial" w:eastAsia="Arial" w:hAnsi="Arial"/>
          <w:b w:val="false"/>
          <w:bCs w:val="false"/>
          <w:i w:val="false"/>
          <w:iCs w:val="false"/>
          <w:color w:val="1B2A4A"/>
          <w:sz w:val="22"/>
          <w:szCs w:val="22"/>
        </w:rPr>
        <w:t xml:space="preserve">T = Tier; MSIL = Multimodal Semantic Integration Layer</w:t>
      </w:r>
    </w:p>
    <w:p>
      <w:pPr>
        <w:pStyle w:val="Heading2"/>
        <w:spacing w:before="280" w:after="140"/>
      </w:pPr>
      <w:r>
        <w:rPr>
          <w:rFonts w:ascii="Arial" w:cs="Arial" w:eastAsia="Arial" w:hAnsi="Arial"/>
          <w:b/>
          <w:bCs/>
          <w:color w:val="1E4D8C"/>
          <w:sz w:val="26"/>
          <w:szCs w:val="26"/>
        </w:rPr>
        <w:t xml:space="preserve">6.2  Updated Feedback Loop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000"/>
        <w:gridCol w:w="2500"/>
        <w:gridCol w:w="2260"/>
      </w:tblGrid>
      <w:tr>
        <w:trPr>
          <w:tblHeader/>
        </w:trPr>
        <w:tc>
          <w:tcPr>
            <w:tcW w:type="dxa" w:w="1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Loop</w:t>
            </w:r>
          </w:p>
        </w:tc>
        <w:tc>
          <w:tcPr>
            <w:tcW w:type="dxa" w:w="1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Time Scale</w:t>
            </w:r>
          </w:p>
        </w:tc>
        <w:tc>
          <w:tcPr>
            <w:tcW w:type="dxa" w:w="2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Agents</w:t>
            </w:r>
          </w:p>
        </w:tc>
        <w:tc>
          <w:tcPr>
            <w:tcW w:type="dxa" w:w="25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Function</w:t>
            </w:r>
          </w:p>
        </w:tc>
        <w:tc>
          <w:tcPr>
            <w:tcW w:type="dxa" w:w="22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Intermittent Rule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Reflex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Brainstem ↔ Thalamus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Sensory gating, artifact rejection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Always closed</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Cerebellar</w:t>
            </w:r>
          </w:p>
        </w:tc>
        <w:tc>
          <w:tcPr>
            <w:tcW w:type="dxa" w:w="1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~100ms</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T2 ↔ T3</w:t>
            </w:r>
          </w:p>
        </w:tc>
        <w:tc>
          <w:tcPr>
            <w:tcW w:type="dxa" w:w="25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Reward signal + feature encoding update</w:t>
            </w:r>
          </w:p>
        </w:tc>
        <w:tc>
          <w:tcPr>
            <w:tcW w:type="dxa" w:w="22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~30% open duty cycle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Prefrontal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T3 ↔ T4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Goal-feature alignment, deliberate planning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~50% open duty cycle</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Semantic Integration</w:t>
            </w:r>
          </w:p>
        </w:tc>
        <w:tc>
          <w:tcPr>
            <w:tcW w:type="dxa" w:w="1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~200–900ms</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MSIL ↔ T3 ↔ T4</w:t>
            </w:r>
          </w:p>
        </w:tc>
        <w:tc>
          <w:tcPr>
            <w:tcW w:type="dxa" w:w="25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Cross-domain binding, conflict resolution, situational model update</w:t>
            </w:r>
          </w:p>
        </w:tc>
        <w:tc>
          <w:tcPr>
            <w:tcW w:type="dxa" w:w="22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Driven by N400/P600 analog stages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Consolidation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All tiers offline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Hippocampal replay, schema formation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Low-input intervals</w:t>
            </w:r>
          </w:p>
        </w:tc>
      </w:tr>
      <w:tr>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Human-AI</w:t>
            </w:r>
          </w:p>
        </w:tc>
        <w:tc>
          <w:tcPr>
            <w:tcW w:type="dxa" w:w="1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~seconds</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Agent 10 ↔ Human</w:t>
            </w:r>
          </w:p>
        </w:tc>
        <w:tc>
          <w:tcPr>
            <w:tcW w:type="dxa" w:w="25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Partner model calibration, cultural adaptation, autonomy preservation</w:t>
            </w:r>
          </w:p>
        </w:tc>
        <w:tc>
          <w:tcPr>
            <w:tcW w:type="dxa" w:w="22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Managed by Agent 10 + 12</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VII: The Three Influencing Dimensions — Architectural Implementation</w:t>
      </w:r>
    </w:p>
    <w:p>
      <w:pPr>
        <w:pStyle w:val="Heading2"/>
        <w:spacing w:before="280" w:after="140"/>
      </w:pPr>
      <w:r>
        <w:rPr>
          <w:rFonts w:ascii="Arial" w:cs="Arial" w:eastAsia="Arial" w:hAnsi="Arial"/>
          <w:b/>
          <w:bCs/>
          <w:color w:val="1E4D8C"/>
          <w:sz w:val="26"/>
          <w:szCs w:val="26"/>
        </w:rPr>
        <w:t xml:space="preserve">7.1  Knowledge and Experience → Compliance Matrix and Cultural Store</w:t>
      </w:r>
    </w:p>
    <w:p>
      <w:pPr>
        <w:spacing w:before="80" w:after="120"/>
        <w:jc w:val="both"/>
      </w:pPr>
      <w:r>
        <w:rPr>
          <w:rFonts w:ascii="Arial" w:cs="Arial" w:eastAsia="Arial" w:hAnsi="Arial"/>
          <w:b w:val="false"/>
          <w:bCs w:val="false"/>
          <w:i w:val="false"/>
          <w:iCs w:val="false"/>
          <w:color w:val="1B2A4A"/>
          <w:sz w:val="22"/>
          <w:szCs w:val="22"/>
        </w:rPr>
        <w:t xml:space="preserve">The knowledge and experience dimension of metaphor processing is implemented across two components. Culturally acquired knowledge — the shared metaphorical schemas transmitted through education, media, and social practice — is stored in the CCRA's cultural knowledge store, indexed by cultural group and communicative context. Embodied experiential knowledge — the sensorimotor associations accumulated through physical interaction with the world — is encoded in the PMP Synergy Agent's compliance matrix, which represents the learned weighting of proprioceptive degrees of freedom by their relevance to current tasks.</w:t>
      </w:r>
    </w:p>
    <w:p>
      <w:pPr>
        <w:spacing w:before="80" w:after="120"/>
        <w:jc w:val="both"/>
      </w:pPr>
      <w:r>
        <w:rPr>
          <w:rFonts w:ascii="Arial" w:cs="Arial" w:eastAsia="Arial" w:hAnsi="Arial"/>
          <w:b w:val="false"/>
          <w:bCs w:val="false"/>
          <w:i w:val="false"/>
          <w:iCs w:val="false"/>
          <w:color w:val="1B2A4A"/>
          <w:sz w:val="22"/>
          <w:szCs w:val="22"/>
        </w:rPr>
        <w:t xml:space="preserve">The deep connection is this: the compliance matrix is not merely a motor control parameter. It encodes the agent's entire history of sensorimotor experience in a form that makes abstract goal-directed action computationally tractable — exactly as embodied experiential knowledge makes abstract metaphor comprehension tractable by providing the concrete sensorimotor anchors from which cross-domain mappings are constructed. Both are learned, both are task-sensitive, and both enable abstraction from concreteness.</w:t>
      </w:r>
    </w:p>
    <w:p>
      <w:pPr>
        <w:pStyle w:val="Heading2"/>
        <w:spacing w:before="280" w:after="140"/>
      </w:pPr>
      <w:r>
        <w:rPr>
          <w:rFonts w:ascii="Arial" w:cs="Arial" w:eastAsia="Arial" w:hAnsi="Arial"/>
          <w:b/>
          <w:bCs/>
          <w:color w:val="1E4D8C"/>
          <w:sz w:val="26"/>
          <w:szCs w:val="26"/>
        </w:rPr>
        <w:t xml:space="preserve">7.2  Contextual Information → Contextual Filtering Module and Fast Loop</w:t>
      </w:r>
    </w:p>
    <w:p>
      <w:pPr>
        <w:spacing w:before="80" w:after="120"/>
        <w:jc w:val="both"/>
      </w:pPr>
      <w:r>
        <w:rPr>
          <w:rFonts w:ascii="Arial" w:cs="Arial" w:eastAsia="Arial" w:hAnsi="Arial"/>
          <w:b w:val="false"/>
          <w:bCs w:val="false"/>
          <w:i w:val="false"/>
          <w:iCs w:val="false"/>
          <w:color w:val="1B2A4A"/>
          <w:sz w:val="22"/>
          <w:szCs w:val="22"/>
        </w:rPr>
        <w:t xml:space="preserve">The contextual information dimension is implemented by the CCRA's Contextual Filtering Module, which operates within the fast-to-medium feedback loop timescale. Strong contexts (shared background, familiar participants) activate the cognitive sieve sharply, pre-loading the AGIA with a narrow set of high-probability source domain candidates. Weak contexts activate it broadly, producing diffuse pre-activation that the AGIA must resolve through extended integration — increasing N400 analog stage cost and potentially triggering P600 conflict resolution.</w:t>
      </w:r>
    </w:p>
    <w:p>
      <w:pPr>
        <w:spacing w:before="80" w:after="120"/>
        <w:jc w:val="both"/>
      </w:pPr>
      <w:r>
        <w:rPr>
          <w:rFonts w:ascii="Arial" w:cs="Arial" w:eastAsia="Arial" w:hAnsi="Arial"/>
          <w:b w:val="false"/>
          <w:bCs w:val="false"/>
          <w:i w:val="false"/>
          <w:iCs w:val="false"/>
          <w:color w:val="1B2A4A"/>
          <w:sz w:val="22"/>
          <w:szCs w:val="22"/>
        </w:rPr>
        <w:t xml:space="preserve">The conflict resolution case (ironic language, metaphors that clash with context) is computationally the most demanding: the AGIA must detect the conflict between the literal and metaphorical readings, invoke PFC modulation to suppress the automated literal interpretation, and reconstruct the speaker's actual intention from the totality of contextual cues. This requires the full activation of the LPC analog stage and a high-confidence situational model update.</w:t>
      </w:r>
    </w:p>
    <w:p>
      <w:pPr>
        <w:pStyle w:val="Heading2"/>
        <w:spacing w:before="280" w:after="140"/>
      </w:pPr>
      <w:r>
        <w:rPr>
          <w:rFonts w:ascii="Arial" w:cs="Arial" w:eastAsia="Arial" w:hAnsi="Arial"/>
          <w:b/>
          <w:bCs/>
          <w:color w:val="1E4D8C"/>
          <w:sz w:val="26"/>
          <w:szCs w:val="26"/>
        </w:rPr>
        <w:t xml:space="preserve">7.3  Individual Differences → Individual Adaptation Module and Longitudinal Models</w:t>
      </w:r>
    </w:p>
    <w:p>
      <w:pPr>
        <w:spacing w:before="80" w:after="120"/>
        <w:jc w:val="both"/>
      </w:pPr>
      <w:r>
        <w:rPr>
          <w:rFonts w:ascii="Arial" w:cs="Arial" w:eastAsia="Arial" w:hAnsi="Arial"/>
          <w:b w:val="false"/>
          <w:bCs w:val="false"/>
          <w:i w:val="false"/>
          <w:iCs w:val="false"/>
          <w:color w:val="1B2A4A"/>
          <w:sz w:val="22"/>
          <w:szCs w:val="22"/>
        </w:rPr>
        <w:t xml:space="preserve">The individual differences dimension operates across three sub-dimensions, each implemented by a specific architectural component:</w:t>
      </w:r>
    </w:p>
    <w:p>
      <w:pPr>
        <w:spacing w:before="80" w:after="100"/>
      </w:pPr>
      <w:r>
        <w:rPr>
          <w:rFonts w:ascii="Arial" w:cs="Arial" w:eastAsia="Arial" w:hAnsi="Arial"/>
          <w:b/>
          <w:bCs/>
          <w:color w:val="1B2A4A"/>
          <w:sz w:val="22"/>
          <w:szCs w:val="22"/>
        </w:rPr>
        <w:t xml:space="preserve">Cognitive style (field dependence/independence): </w:t>
      </w:r>
      <w:r>
        <w:rPr>
          <w:rFonts w:ascii="Arial" w:cs="Arial" w:eastAsia="Arial" w:hAnsi="Arial"/>
          <w:color w:val="1B2A4A"/>
          <w:sz w:val="22"/>
          <w:szCs w:val="22"/>
        </w:rPr>
        <w:t xml:space="preserve">The CCRA's Individual Adaptation Module tags each interaction partner with a cognitive style profile. Field-dependent partners receive context-prominent communication from the LLM Agent and context-rich pre-activation from the CCRA. Field-independent partners receive schema-prominent, analytically structured metaphors that leverage their preference for internal-structure-driven processing.</w:t>
      </w:r>
    </w:p>
    <w:p>
      <w:pPr>
        <w:spacing w:before="80" w:after="100"/>
      </w:pPr>
      <w:r>
        <w:rPr>
          <w:rFonts w:ascii="Arial" w:cs="Arial" w:eastAsia="Arial" w:hAnsi="Arial"/>
          <w:b/>
          <w:bCs/>
          <w:color w:val="1B2A4A"/>
          <w:sz w:val="22"/>
          <w:szCs w:val="22"/>
        </w:rPr>
        <w:t xml:space="preserve">Group identity and domain expertise: </w:t>
      </w:r>
      <w:r>
        <w:rPr>
          <w:rFonts w:ascii="Arial" w:cs="Arial" w:eastAsia="Arial" w:hAnsi="Arial"/>
          <w:color w:val="1B2A4A"/>
          <w:sz w:val="22"/>
          <w:szCs w:val="22"/>
        </w:rPr>
        <w:t xml:space="preserve">The CCRA's cultural knowledge store includes domain-specific metaphorical schema clusters: medical professionals' immunological-military mappings, esports players' tactical-goal mappings, engineers' structural-process mappings. When a partner's professional identity is established in the longitudinal model, the relevant domain schema is pre-activated, improving processing efficiency in within-domain metaphors while flagging cross-domain uses that may not transfer.</w:t>
      </w:r>
    </w:p>
    <w:p>
      <w:pPr>
        <w:spacing w:before="80" w:after="100"/>
      </w:pPr>
      <w:r>
        <w:rPr>
          <w:rFonts w:ascii="Arial" w:cs="Arial" w:eastAsia="Arial" w:hAnsi="Arial"/>
          <w:b/>
          <w:bCs/>
          <w:color w:val="1B2A4A"/>
          <w:sz w:val="22"/>
          <w:szCs w:val="22"/>
        </w:rPr>
        <w:t xml:space="preserve">Neurophysiological channel differences: </w:t>
      </w:r>
      <w:r>
        <w:rPr>
          <w:rFonts w:ascii="Arial" w:cs="Arial" w:eastAsia="Arial" w:hAnsi="Arial"/>
          <w:color w:val="1B2A4A"/>
          <w:sz w:val="22"/>
          <w:szCs w:val="22"/>
        </w:rPr>
        <w:t xml:space="preserve">The Channel Availability Protocol implements this dimension in real time, adapting the routing of semantic integration based on the detected performance profile of each processing pathway for the current partner.</w:t>
      </w:r>
    </w:p>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VIII: Rehabilitation and Clinical Applications</w:t>
      </w:r>
    </w:p>
    <w:p>
      <w:pPr>
        <w:pStyle w:val="Heading2"/>
        <w:spacing w:before="280" w:after="140"/>
      </w:pPr>
      <w:r>
        <w:rPr>
          <w:rFonts w:ascii="Arial" w:cs="Arial" w:eastAsia="Arial" w:hAnsi="Arial"/>
          <w:b/>
          <w:bCs/>
          <w:color w:val="1E4D8C"/>
          <w:sz w:val="26"/>
          <w:szCs w:val="26"/>
        </w:rPr>
        <w:t xml:space="preserve">8.1  Neuroplasticity-Informed Intervention Design</w:t>
      </w:r>
    </w:p>
    <w:p>
      <w:pPr>
        <w:spacing w:before="80" w:after="120"/>
        <w:jc w:val="both"/>
      </w:pPr>
      <w:r>
        <w:rPr>
          <w:rFonts w:ascii="Arial" w:cs="Arial" w:eastAsia="Arial" w:hAnsi="Arial"/>
          <w:b w:val="false"/>
          <w:bCs w:val="false"/>
          <w:i w:val="false"/>
          <w:iCs w:val="false"/>
          <w:color w:val="1B2A4A"/>
          <w:sz w:val="22"/>
          <w:szCs w:val="22"/>
        </w:rPr>
        <w:t xml:space="preserve">The neuroplastic compensation mechanisms documented in autism, aphasia, and deaf-mute populations provide a direct template for MACNN-RLS's rehabilitation application mode. The system's Channel Availability Protocol implements the same adaptive logic that injured or atypical brains deploy spontaneously, but does so proactively and in a computationally controllable manner — enabling intervention designers to optimize the channel mix, the metaphor novelty level, and the contextual support density for each individual patient's current compensation profile.</w:t>
      </w:r>
    </w:p>
    <w:p>
      <w:pPr>
        <w:pStyle w:val="Heading2"/>
        <w:spacing w:before="280" w:after="140"/>
      </w:pPr>
      <w:r>
        <w:rPr>
          <w:rFonts w:ascii="Arial" w:cs="Arial" w:eastAsia="Arial" w:hAnsi="Arial"/>
          <w:b/>
          <w:bCs/>
          <w:color w:val="1E4D8C"/>
          <w:sz w:val="26"/>
          <w:szCs w:val="26"/>
        </w:rPr>
        <w:t xml:space="preserve">8.2  Autism Spectrum Intervention</w:t>
      </w:r>
    </w:p>
    <w:p>
      <w:pPr>
        <w:spacing w:before="80" w:after="120"/>
        <w:jc w:val="both"/>
      </w:pPr>
      <w:r>
        <w:rPr>
          <w:rFonts w:ascii="Arial" w:cs="Arial" w:eastAsia="Arial" w:hAnsi="Arial"/>
          <w:b w:val="false"/>
          <w:bCs w:val="false"/>
          <w:i w:val="false"/>
          <w:iCs w:val="false"/>
          <w:color w:val="1B2A4A"/>
          <w:sz w:val="22"/>
          <w:szCs w:val="22"/>
        </w:rPr>
        <w:t xml:space="preserve">For users on the autism spectrum, the system's default configuration shifts to visual-concrete metaphor processing. Social rule explanations are delivered through flowchart-metaphor hybrids (visual regularization). Emotional concepts are translated into physical-sensory representations — thermal intensity for emotional warmth, tactile texture for personality qualities. The N400 analog stage threshold is calibrated to the patient's dominance profile: highly dominant metaphors are used to establish early cross-modal coupling and build toward abstract semantic integration.</w:t>
      </w:r>
    </w:p>
    <w:p>
      <w:pPr>
        <w:spacing w:before="80" w:after="120"/>
        <w:jc w:val="both"/>
      </w:pPr>
      <w:r>
        <w:rPr>
          <w:rFonts w:ascii="Arial" w:cs="Arial" w:eastAsia="Arial" w:hAnsi="Arial"/>
          <w:b w:val="false"/>
          <w:bCs w:val="false"/>
          <w:i w:val="false"/>
          <w:iCs w:val="false"/>
          <w:color w:val="1B2A4A"/>
          <w:sz w:val="22"/>
          <w:szCs w:val="22"/>
        </w:rPr>
        <w:t xml:space="preserve">The longitudinal partner model tracks which metaphors have successfully established rTPJ coupling (early cross-modal binding) and uses these as anchors for introducing progressively less-dominant (more novel) mappings, implementing a systematic gradient of abstraction guided by individual plasticity data.</w:t>
      </w:r>
    </w:p>
    <w:p>
      <w:pPr>
        <w:pStyle w:val="Heading2"/>
        <w:spacing w:before="280" w:after="140"/>
      </w:pPr>
      <w:r>
        <w:rPr>
          <w:rFonts w:ascii="Arial" w:cs="Arial" w:eastAsia="Arial" w:hAnsi="Arial"/>
          <w:b/>
          <w:bCs/>
          <w:color w:val="1E4D8C"/>
          <w:sz w:val="26"/>
          <w:szCs w:val="26"/>
        </w:rPr>
        <w:t xml:space="preserve">8.3  Aphasia Rehabilitation</w:t>
      </w:r>
    </w:p>
    <w:p>
      <w:pPr>
        <w:spacing w:before="80" w:after="120"/>
        <w:jc w:val="both"/>
      </w:pPr>
      <w:r>
        <w:rPr>
          <w:rFonts w:ascii="Arial" w:cs="Arial" w:eastAsia="Arial" w:hAnsi="Arial"/>
          <w:b w:val="false"/>
          <w:bCs w:val="false"/>
          <w:i w:val="false"/>
          <w:iCs w:val="false"/>
          <w:color w:val="1B2A4A"/>
          <w:sz w:val="22"/>
          <w:szCs w:val="22"/>
        </w:rPr>
        <w:t xml:space="preserve">For patients with aphasia, the system activates the non-verbal channel pathway as the primary integration route. Metaphorical content is delivered through visual and gestural channels to engage the intact right-hemisphere pathway (rSTS, rIFG). The LLM Agent calibrates linguistic support to the minimum level that supports rSTS activation without triggering the damaged left-hemisphere pathway that would produce processing failures. Progress is tracked by the AGIA's coherence monitoring: increasing gamma-band coherence in the parieto-temporal region over sessions indicates strengthening of the right-hemisphere compensatory pathway.</w:t>
      </w:r>
    </w:p>
    <w:p>
      <w:pPr>
        <w:pStyle w:val="Heading2"/>
        <w:spacing w:before="280" w:after="140"/>
      </w:pPr>
      <w:r>
        <w:rPr>
          <w:rFonts w:ascii="Arial" w:cs="Arial" w:eastAsia="Arial" w:hAnsi="Arial"/>
          <w:b/>
          <w:bCs/>
          <w:color w:val="1E4D8C"/>
          <w:sz w:val="26"/>
          <w:szCs w:val="26"/>
        </w:rPr>
        <w:t xml:space="preserve">8.4  Deaf-Mute Augmentation</w:t>
      </w:r>
    </w:p>
    <w:p>
      <w:pPr>
        <w:spacing w:before="80" w:after="120"/>
        <w:jc w:val="both"/>
      </w:pPr>
      <w:r>
        <w:rPr>
          <w:rFonts w:ascii="Arial" w:cs="Arial" w:eastAsia="Arial" w:hAnsi="Arial"/>
          <w:b w:val="false"/>
          <w:bCs w:val="false"/>
          <w:i w:val="false"/>
          <w:iCs w:val="false"/>
          <w:color w:val="1B2A4A"/>
          <w:sz w:val="22"/>
          <w:szCs w:val="22"/>
        </w:rPr>
        <w:t xml:space="preserve">For deaf-mute users, the system's default configuration maximizes spatial-abstract metaphor processing through sign language spatial coding conventions. Haptic-vibration channel integration converts prosodic and emotional metaphorical content to tactile rhythm patterns. The CCRA's embodied knowledge store is seeded with spatial metaphor schemas appropriate to the user's sign language background (ASL, BSL, CSL spatial coding conventions). The system's bilateral fusiform gyrus analog — the visual feature extraction pathway of the Limbic Feature Agent — is enhanced with additional training on sign language morphological features.</w:t>
      </w:r>
    </w:p>
    <w:p>
      <w:pPr>
        <w:pStyle w:val="Heading2"/>
        <w:spacing w:before="280" w:after="140"/>
      </w:pPr>
      <w:r>
        <w:rPr>
          <w:rFonts w:ascii="Arial" w:cs="Arial" w:eastAsia="Arial" w:hAnsi="Arial"/>
          <w:b/>
          <w:bCs/>
          <w:color w:val="1E4D8C"/>
          <w:sz w:val="26"/>
          <w:szCs w:val="26"/>
        </w:rPr>
        <w:t xml:space="preserve">8.5  General Principle: Laboratory-to-Practice Translation</w:t>
      </w:r>
    </w:p>
    <w:p>
      <w:pPr>
        <w:spacing w:before="80" w:after="120"/>
        <w:jc w:val="both"/>
      </w:pPr>
      <w:r>
        <w:rPr>
          <w:rFonts w:ascii="Arial" w:cs="Arial" w:eastAsia="Arial" w:hAnsi="Arial"/>
          <w:b w:val="false"/>
          <w:bCs w:val="false"/>
          <w:i w:val="false"/>
          <w:iCs w:val="false"/>
          <w:color w:val="1B2A4A"/>
          <w:sz w:val="22"/>
          <w:szCs w:val="22"/>
        </w:rPr>
        <w:t xml:space="preserve">A persistent gap in neuroplasticity research is the difficulty of translating laboratory findings (enhanced rTPJ activation, right-hemisphere pathway compensation) into reliable clinical outcomes. MACNN-RLS addresses this gap through its longitudinal partner model, which bridges the laboratory and clinical contexts by continuously calibrating intervention parameters to individual response data. The system does not apply a fixed protocol derived from group-average neural data but adapts its intervention strategy trial-by-trial based on each patient's real-time processing signatures — closing the feedback loop between neural mechanism knowledge and clinical practice.</w:t>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IX: Implementation Roadmap — v3.0 Extensions</w:t>
      </w:r>
    </w:p>
    <w:p>
      <w:pPr>
        <w:pStyle w:val="Heading2"/>
        <w:spacing w:before="280" w:after="140"/>
      </w:pPr>
      <w:r>
        <w:rPr>
          <w:rFonts w:ascii="Arial" w:cs="Arial" w:eastAsia="Arial" w:hAnsi="Arial"/>
          <w:b/>
          <w:bCs/>
          <w:color w:val="1E4D8C"/>
          <w:sz w:val="26"/>
          <w:szCs w:val="26"/>
        </w:rPr>
        <w:t xml:space="preserve">Phase 5: Multimodal Semantic Integration Layer (Months 13–15)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t>
            </w:r>
          </w:p>
        </w:tc>
        <w:tc>
          <w:tcPr>
            <w:tcW w:type="dxa" w:w="3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Milestone</w:t>
            </w:r>
          </w:p>
        </w:tc>
        <w:tc>
          <w:tcPr>
            <w:tcW w:type="dxa" w:w="5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Success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AGIA core implementation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Cross-domain compliance matrix trained via circular reaction; N400-P600-LPC analog pipeline validated against published ERP latency and amplitude norms</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5.2</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Gamma coherence monitoring</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AGIA gamma threshold calibration; habit compilation trigger validated against novelty-coherence anticorrelation; ±15% of literature values for familiar vs. novel metaphors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CCRA cultural knowledge store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Minimum viable cultural schema library: East Asian, Western, domain-specific (medical, engineering, sports); cross-cultural disambiguation validated in controlled transfer task</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5.4</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Channel Availability Protocol</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CAP routing verified across 5 degradation scenarios; recovery from verbal pathway failure achieved with &lt;500ms latency; processing accuracy maintained &gt;80% of intact-pathway baseline</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Phase 6: Clinical and Rehabilitation Integration (Months 16–18)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t>
            </w:r>
          </w:p>
        </w:tc>
        <w:tc>
          <w:tcPr>
            <w:tcW w:type="dxa" w:w="3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Milestone</w:t>
            </w:r>
          </w:p>
        </w:tc>
        <w:tc>
          <w:tcPr>
            <w:tcW w:type="dxa" w:w="5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Success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6.1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Autism intervention protocol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10-subject pilot; dominant-to-novel metaphor gradient; rTPJ coupling signal captured via TFPF coherence proxy; 20% reduction in LPC anomaly amplitude over 8 sessions</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6.2</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Aphasia rehabilitation protocol</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10-subject pilot; right-hemisphere pathway activation confirmed by increasing parieto-temporal gamma coherence over 8 sessions; verbal metaphor comprehension score improvement ≥15% vs. standard therapy control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6.3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Deaf-mute augmentation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Haptic-vibration prosody-to-tactile mapping validated; spatial metaphor processing accuracy ≥90% of hearing baseline; SMA activation pattern confirmed via EEG during haptic prosody task</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6.4</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Longitudinal laboratory-to-practice study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30-subject, 12-week protocol across all three clinical groups; primary outcome: individual CAP adaptation accuracy predicts session-by-session clinical improvement with r &gt; 0.6</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X: Synthesis and Grand Architecture</w:t>
      </w:r>
    </w:p>
    <w:p>
      <w:pPr>
        <w:pStyle w:val="Heading2"/>
        <w:spacing w:before="280" w:after="140"/>
      </w:pPr>
      <w:r>
        <w:rPr>
          <w:rFonts w:ascii="Arial" w:cs="Arial" w:eastAsia="Arial" w:hAnsi="Arial"/>
          <w:b/>
          <w:bCs/>
          <w:color w:val="1E4D8C"/>
          <w:sz w:val="26"/>
          <w:szCs w:val="26"/>
        </w:rPr>
        <w:t xml:space="preserve">10.1  The Unified Computational Principle</w:t>
      </w:r>
    </w:p>
    <w:p>
      <w:pPr>
        <w:spacing w:before="80" w:after="120"/>
        <w:jc w:val="both"/>
      </w:pPr>
      <w:r>
        <w:rPr>
          <w:rFonts w:ascii="Arial" w:cs="Arial" w:eastAsia="Arial" w:hAnsi="Arial"/>
          <w:b w:val="false"/>
          <w:bCs w:val="false"/>
          <w:i w:val="false"/>
          <w:iCs w:val="false"/>
          <w:color w:val="1B2A4A"/>
          <w:sz w:val="22"/>
          <w:szCs w:val="22"/>
        </w:rPr>
        <w:t xml:space="preserve">MACNN-RLS v3.0 is grounded in a single computational principle that unifies all six foundational pillars: purposive intelligence is the capacity to construct abstract representations from concrete sensorimotor experience and to translate those representations back into concrete action — in an open loop with an environment that continuously provides new sensorimotor data, new feedback, and new demands for abstraction.</w:t>
      </w:r>
    </w:p>
    <w:p>
      <w:pPr>
        <w:spacing w:before="80" w:after="120"/>
        <w:jc w:val="both"/>
      </w:pPr>
      <w:r>
        <w:rPr>
          <w:rFonts w:ascii="Arial" w:cs="Arial" w:eastAsia="Arial" w:hAnsi="Arial"/>
          <w:b w:val="false"/>
          <w:bCs w:val="false"/>
          <w:i w:val="false"/>
          <w:iCs w:val="false"/>
          <w:color w:val="1B2A4A"/>
          <w:sz w:val="22"/>
          <w:szCs w:val="22"/>
        </w:rPr>
        <w:t xml:space="preserve">The PMP implements this principle for motor cognition: concrete sensorimotor data (proprioceptive state) is mapped to abstract goal representation (exteroceptive target), and the abstract goal generates the concrete trajectory through the Jacobian-mediated force field. Conceptual Metaphor Theory implements the same principle for linguistic cognition: concrete sensorimotor experience (the source domain) is mapped to abstract conceptual understanding (the target domain), and that understanding enables the generation of metaphorical language that communicates the abstraction back to a concrete-experience-grounded interlocutor.</w:t>
      </w:r>
    </w:p>
    <w:p>
      <w:pPr>
        <w:spacing w:before="80" w:after="120"/>
        <w:jc w:val="both"/>
      </w:pPr>
      <w:r>
        <w:rPr>
          <w:rFonts w:ascii="Arial" w:cs="Arial" w:eastAsia="Arial" w:hAnsi="Arial"/>
          <w:b w:val="false"/>
          <w:bCs w:val="false"/>
          <w:i w:val="false"/>
          <w:iCs w:val="false"/>
          <w:color w:val="1B2A4A"/>
          <w:sz w:val="22"/>
          <w:szCs w:val="22"/>
        </w:rPr>
        <w:t xml:space="preserve">The AG is the neural hub of this principle in the brain. The Angular Gyrus Integration Agent is its computational implementation in MACNN-RLS. And the Passive Motion Paradigm's compliance matrix is its mathematical formalization. They are three instantiations of the same fundamental operation: weighted cross-domain mapping from sensorimotor concreteness to conceptual abstraction, learned through self-generated experience, updated through feedback, and adaptive to individual and contextual variation.</w:t>
      </w:r>
    </w:p>
    <w:p>
      <w:pPr>
        <w:pStyle w:val="Heading2"/>
        <w:spacing w:before="280" w:after="140"/>
      </w:pPr>
      <w:r>
        <w:rPr>
          <w:rFonts w:ascii="Arial" w:cs="Arial" w:eastAsia="Arial" w:hAnsi="Arial"/>
          <w:b/>
          <w:bCs/>
          <w:color w:val="1E4D8C"/>
          <w:sz w:val="26"/>
          <w:szCs w:val="26"/>
        </w:rPr>
        <w:t xml:space="preserve">10.2  The Neuroplasticity Principle as Architectural Constraint</w:t>
      </w:r>
    </w:p>
    <w:p>
      <w:pPr>
        <w:spacing w:before="80" w:after="120"/>
        <w:jc w:val="both"/>
      </w:pPr>
      <w:r>
        <w:rPr>
          <w:rFonts w:ascii="Arial" w:cs="Arial" w:eastAsia="Arial" w:hAnsi="Arial"/>
          <w:b w:val="false"/>
          <w:bCs w:val="false"/>
          <w:i w:val="false"/>
          <w:iCs w:val="false"/>
          <w:color w:val="1B2A4A"/>
          <w:sz w:val="22"/>
          <w:szCs w:val="22"/>
        </w:rPr>
        <w:t xml:space="preserve">The neuroplastic compensation mechanisms documented in autism, aphasia, and deaf-mute populations are not special cases — they are the clearest experimental evidence that the brain's metaphor processing architecture is inherently channel-agnostic. The AG binds whatever sensorimotor inputs are available to whatever conceptual targets are relevant. The specific pathway is secondary to the binding operation itself.</w:t>
      </w:r>
    </w:p>
    <w:p>
      <w:pPr>
        <w:spacing w:before="80" w:after="120"/>
        <w:jc w:val="both"/>
      </w:pPr>
      <w:r>
        <w:rPr>
          <w:rFonts w:ascii="Arial" w:cs="Arial" w:eastAsia="Arial" w:hAnsi="Arial"/>
          <w:b w:val="false"/>
          <w:bCs w:val="false"/>
          <w:i w:val="false"/>
          <w:iCs w:val="false"/>
          <w:color w:val="1B2A4A"/>
          <w:sz w:val="22"/>
          <w:szCs w:val="22"/>
        </w:rPr>
        <w:t xml:space="preserve">MACNN-RLS inherits this channel-agnosticism through the Channel Availability Protocol. The architecture does not privilege any particular input modality. It implements the binding operation and adapts the channel mix dynamically based on availability, reliability, and individual partner profiles. This is not a concession to accessibility requirements — it is the correct architectural design, one that the neuroscience of special populations demonstrates is the biologically verified solution.</w:t>
      </w:r>
    </w:p>
    <w:p>
      <w:pPr>
        <w:pStyle w:val="Heading2"/>
        <w:spacing w:before="280" w:after="140"/>
      </w:pPr>
      <w:r>
        <w:rPr>
          <w:rFonts w:ascii="Arial" w:cs="Arial" w:eastAsia="Arial" w:hAnsi="Arial"/>
          <w:b/>
          <w:bCs/>
          <w:color w:val="1E4D8C"/>
          <w:sz w:val="26"/>
          <w:szCs w:val="26"/>
        </w:rPr>
        <w:t xml:space="preserve">10.3  The Human Flourishing Imperative</w:t>
      </w:r>
    </w:p>
    <w:p>
      <w:pPr>
        <w:spacing w:before="80" w:after="120"/>
        <w:jc w:val="both"/>
      </w:pPr>
      <w:r>
        <w:rPr>
          <w:rFonts w:ascii="Arial" w:cs="Arial" w:eastAsia="Arial" w:hAnsi="Arial"/>
          <w:b w:val="false"/>
          <w:bCs w:val="false"/>
          <w:i w:val="false"/>
          <w:iCs w:val="false"/>
          <w:color w:val="1B2A4A"/>
          <w:sz w:val="22"/>
          <w:szCs w:val="22"/>
        </w:rPr>
        <w:t xml:space="preserve">MACNN-RLS is ultimately a system designed for interaction with human partners. The LLM Cognitive Interface Agent, the CCRA's Individual Adaptation Module, and the rehabilitation application modes all share a single design imperative: the system must leave its human partners more capable, more comprehending, and more cognitively alive than it found them.</w:t>
      </w:r>
    </w:p>
    <w:p>
      <w:pPr>
        <w:spacing w:before="80" w:after="120"/>
        <w:jc w:val="both"/>
      </w:pPr>
      <w:r>
        <w:rPr>
          <w:rFonts w:ascii="Arial" w:cs="Arial" w:eastAsia="Arial" w:hAnsi="Arial"/>
          <w:b w:val="false"/>
          <w:bCs w:val="false"/>
          <w:i w:val="false"/>
          <w:iCs w:val="false"/>
          <w:color w:val="1B2A4A"/>
          <w:sz w:val="22"/>
          <w:szCs w:val="22"/>
        </w:rPr>
        <w:t xml:space="preserve">This imperative has a specific neurological interpretation in light of the metaphor processing research: a system that communicates exclusively through familiar, low-novelty metaphors will produce efficient, low-cost interactions (high gamma coherence, minimal N400 cost) but will not engage the neural mechanisms of creative cross-domain mapping, novel semantic binding, and conceptual schema expansion. A system that calibrates metaphor novelty to the individual partner's current processing capacity — always operating slightly above the N400 amplitude minimum, always introducing a small amount of productive integration challenge — will, over time, expand the partner's conceptual range, strengthen their AG-mediated binding capacity, and develop their ability to navigate novel metaphorical terrain.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optimal interaction is not the most efficient interaction. It is the interaction that, across the full trajectory of the partnership, maximizes the human partner's cognitive growth — their capacity for abstract reasoning, cross-domain creativity, and flexible communication across cultural and modal boundaries. This is the standard against which MACNN-RLS v3.0 is designed to be evaluated.</w:t>
            </w:r>
          </w:p>
        </w:tc>
      </w:tr>
    </w:tbl>
    <w:p>
      <w:pPr>
        <w:spacing w:before="0" w:after="0"/>
      </w:pPr>
      <w:r>
        <w:t xml:space="preserve"/>
      </w:r>
    </w:p>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References and Foundational Literature</w:t>
      </w:r>
    </w:p>
    <w:p>
      <w:pPr>
        <w:pStyle w:val="ListParagraph"/>
        <w:numPr>
          <w:ilvl w:val="0"/>
          <w:numId w:val="2"/>
        </w:numPr>
        <w:spacing w:before="60" w:after="60"/>
      </w:pPr>
      <w:r>
        <w:rPr>
          <w:rFonts w:ascii="Arial" w:cs="Arial" w:eastAsia="Arial" w:hAnsi="Arial"/>
          <w:color w:val="1B2A4A"/>
          <w:sz w:val="22"/>
          <w:szCs w:val="22"/>
        </w:rPr>
        <w:t xml:space="preserve">Wiener, N. Cybernetics: Or Control and Communication in the Animal and the Machine. MIT Press, 1948.</w:t>
      </w:r>
    </w:p>
    <w:p>
      <w:pPr>
        <w:pStyle w:val="ListParagraph"/>
        <w:numPr>
          <w:ilvl w:val="0"/>
          <w:numId w:val="2"/>
        </w:numPr>
        <w:spacing w:before="60" w:after="60"/>
      </w:pPr>
      <w:r>
        <w:rPr>
          <w:rFonts w:ascii="Arial" w:cs="Arial" w:eastAsia="Arial" w:hAnsi="Arial"/>
          <w:color w:val="1B2A4A"/>
          <w:sz w:val="22"/>
          <w:szCs w:val="22"/>
        </w:rPr>
        <w:t xml:space="preserve">Lakoff, G. &amp; Johnson, M. Metaphors We Live By. University of Chicago Press, 1980.</w:t>
      </w:r>
    </w:p>
    <w:p>
      <w:pPr>
        <w:pStyle w:val="ListParagraph"/>
        <w:numPr>
          <w:ilvl w:val="0"/>
          <w:numId w:val="2"/>
        </w:numPr>
        <w:spacing w:before="60" w:after="60"/>
      </w:pPr>
      <w:r>
        <w:rPr>
          <w:rFonts w:ascii="Arial" w:cs="Arial" w:eastAsia="Arial" w:hAnsi="Arial"/>
          <w:color w:val="1B2A4A"/>
          <w:sz w:val="22"/>
          <w:szCs w:val="22"/>
        </w:rPr>
        <w:t xml:space="preserve">Maturana, H.R. &amp; Varela, F.J. The Tree of Knowledge. Shambhala, 1987.</w:t>
      </w:r>
    </w:p>
    <w:p>
      <w:pPr>
        <w:pStyle w:val="ListParagraph"/>
        <w:numPr>
          <w:ilvl w:val="0"/>
          <w:numId w:val="2"/>
        </w:numPr>
        <w:spacing w:before="60" w:after="60"/>
      </w:pPr>
      <w:r>
        <w:rPr>
          <w:rFonts w:ascii="Arial" w:cs="Arial" w:eastAsia="Arial" w:hAnsi="Arial"/>
          <w:color w:val="1B2A4A"/>
          <w:sz w:val="22"/>
          <w:szCs w:val="22"/>
        </w:rPr>
        <w:t xml:space="preserve">Bernstein, N.A. The Coordination and Regulation of Movements. Pergamon Press, 1967.</w:t>
      </w:r>
    </w:p>
    <w:p>
      <w:pPr>
        <w:pStyle w:val="ListParagraph"/>
        <w:numPr>
          <w:ilvl w:val="0"/>
          <w:numId w:val="2"/>
        </w:numPr>
        <w:spacing w:before="60" w:after="60"/>
      </w:pPr>
      <w:r>
        <w:rPr>
          <w:rFonts w:ascii="Arial" w:cs="Arial" w:eastAsia="Arial" w:hAnsi="Arial"/>
          <w:color w:val="1B2A4A"/>
          <w:sz w:val="22"/>
          <w:szCs w:val="22"/>
        </w:rPr>
        <w:t xml:space="preserve">Piaget, J. The Origins of Intelligence in Children. International Universities Press, 1952.</w:t>
      </w:r>
    </w:p>
    <w:p>
      <w:pPr>
        <w:pStyle w:val="ListParagraph"/>
        <w:numPr>
          <w:ilvl w:val="0"/>
          <w:numId w:val="2"/>
        </w:numPr>
        <w:spacing w:before="60" w:after="60"/>
      </w:pPr>
      <w:r>
        <w:rPr>
          <w:rFonts w:ascii="Arial" w:cs="Arial" w:eastAsia="Arial" w:hAnsi="Arial"/>
          <w:color w:val="1B2A4A"/>
          <w:sz w:val="22"/>
          <w:szCs w:val="22"/>
        </w:rPr>
        <w:t xml:space="preserve">Morasso, P. A vexing question in motor control: the degrees of freedom problem. Front. Bioeng. Biotechnol. 9:783501, 2022.</w:t>
      </w:r>
    </w:p>
    <w:p>
      <w:pPr>
        <w:pStyle w:val="ListParagraph"/>
        <w:numPr>
          <w:ilvl w:val="0"/>
          <w:numId w:val="2"/>
        </w:numPr>
        <w:spacing w:before="60" w:after="60"/>
      </w:pPr>
      <w:r>
        <w:rPr>
          <w:rFonts w:ascii="Arial" w:cs="Arial" w:eastAsia="Arial" w:hAnsi="Arial"/>
          <w:color w:val="1B2A4A"/>
          <w:sz w:val="22"/>
          <w:szCs w:val="22"/>
        </w:rPr>
        <w:t xml:space="preserve">Fan, C., Yang, B. et al. Feature Classification Combining 3D-CNN with GAN for Motor Imagery. 2024.</w:t>
      </w:r>
    </w:p>
    <w:p>
      <w:pPr>
        <w:pStyle w:val="ListParagraph"/>
        <w:numPr>
          <w:ilvl w:val="0"/>
          <w:numId w:val="2"/>
        </w:numPr>
        <w:spacing w:before="60" w:after="60"/>
      </w:pPr>
      <w:r>
        <w:rPr>
          <w:rFonts w:ascii="Arial" w:cs="Arial" w:eastAsia="Arial" w:hAnsi="Arial"/>
          <w:color w:val="1B2A4A"/>
          <w:sz w:val="22"/>
          <w:szCs w:val="22"/>
        </w:rPr>
        <w:t xml:space="preserve">Hu, X. et al. Neural Differentiation and Integration Mechanisms of Multimodal Metaphor Processing. 2024.</w:t>
      </w:r>
    </w:p>
    <w:p>
      <w:pPr>
        <w:pStyle w:val="ListParagraph"/>
        <w:numPr>
          <w:ilvl w:val="0"/>
          <w:numId w:val="2"/>
        </w:numPr>
        <w:spacing w:before="60" w:after="60"/>
      </w:pPr>
      <w:r>
        <w:rPr>
          <w:rFonts w:ascii="Arial" w:cs="Arial" w:eastAsia="Arial" w:hAnsi="Arial"/>
          <w:color w:val="1B2A4A"/>
          <w:sz w:val="22"/>
          <w:szCs w:val="22"/>
        </w:rPr>
        <w:t xml:space="preserve">Benedek, M. et al. Creating metaphors: the neural basis of figurative language production. NeuroImage, 90, 2014.</w:t>
      </w:r>
    </w:p>
    <w:p>
      <w:pPr>
        <w:pStyle w:val="ListParagraph"/>
        <w:numPr>
          <w:ilvl w:val="0"/>
          <w:numId w:val="2"/>
        </w:numPr>
        <w:spacing w:before="60" w:after="60"/>
      </w:pPr>
      <w:r>
        <w:rPr>
          <w:rFonts w:ascii="Arial" w:cs="Arial" w:eastAsia="Arial" w:hAnsi="Arial"/>
          <w:color w:val="1B2A4A"/>
          <w:sz w:val="22"/>
          <w:szCs w:val="22"/>
        </w:rPr>
        <w:t xml:space="preserve">Forceville, C. Non-verbal and multimodal metaphor in a cognitivist framework. Multimodal Metaphor, 19, 2009.</w:t>
      </w:r>
    </w:p>
    <w:p>
      <w:pPr>
        <w:pStyle w:val="ListParagraph"/>
        <w:numPr>
          <w:ilvl w:val="0"/>
          <w:numId w:val="2"/>
        </w:numPr>
        <w:spacing w:before="60" w:after="60"/>
      </w:pPr>
      <w:r>
        <w:rPr>
          <w:rFonts w:ascii="Arial" w:cs="Arial" w:eastAsia="Arial" w:hAnsi="Arial"/>
          <w:color w:val="1B2A4A"/>
          <w:sz w:val="22"/>
          <w:szCs w:val="22"/>
        </w:rPr>
        <w:t xml:space="preserve">Friston, K. The free-energy principle: a unified brain theory? Nat. Rev. Neurosci. 11(2):127–138, 2010.</w:t>
      </w:r>
    </w:p>
    <w:p>
      <w:pPr>
        <w:pStyle w:val="ListParagraph"/>
        <w:numPr>
          <w:ilvl w:val="0"/>
          <w:numId w:val="2"/>
        </w:numPr>
        <w:spacing w:before="60" w:after="60"/>
      </w:pPr>
      <w:r>
        <w:rPr>
          <w:rFonts w:ascii="Arial" w:cs="Arial" w:eastAsia="Arial" w:hAnsi="Arial"/>
          <w:color w:val="1B2A4A"/>
          <w:sz w:val="22"/>
          <w:szCs w:val="22"/>
        </w:rPr>
        <w:t xml:space="preserve">He, Y. et al. EEG-fMRI evidence for gamma-band enhancement in multimodal metaphor comprehension. Brain &amp; Language, 2018.</w:t>
      </w:r>
    </w:p>
    <w:p>
      <w:pPr>
        <w:pStyle w:val="ListParagraph"/>
        <w:numPr>
          <w:ilvl w:val="0"/>
          <w:numId w:val="2"/>
        </w:numPr>
        <w:spacing w:before="60" w:after="60"/>
      </w:pPr>
      <w:r>
        <w:rPr>
          <w:rFonts w:ascii="Arial" w:cs="Arial" w:eastAsia="Arial" w:hAnsi="Arial"/>
          <w:color w:val="1B2A4A"/>
          <w:sz w:val="22"/>
          <w:szCs w:val="22"/>
        </w:rPr>
        <w:t xml:space="preserve">Hopfield, J.J. Neural networks and physical systems with emergent collective computational abilities. PNAS, 79(8), 1982.</w:t>
      </w:r>
    </w:p>
    <w:p>
      <w:pPr>
        <w:pStyle w:val="ListParagraph"/>
        <w:numPr>
          <w:ilvl w:val="0"/>
          <w:numId w:val="2"/>
        </w:numPr>
        <w:spacing w:before="60" w:after="60"/>
      </w:pPr>
      <w:r>
        <w:rPr>
          <w:rFonts w:ascii="Arial" w:cs="Arial" w:eastAsia="Arial" w:hAnsi="Arial"/>
          <w:color w:val="1B2A4A"/>
          <w:sz w:val="22"/>
          <w:szCs w:val="22"/>
        </w:rPr>
        <w:t xml:space="preserve">Goodfellow, I. et al. Generative Adversarial Networks. NeurIPS, 2014.</w:t>
      </w:r>
    </w:p>
    <w:p>
      <w:pPr>
        <w:pStyle w:val="ListParagraph"/>
        <w:numPr>
          <w:ilvl w:val="0"/>
          <w:numId w:val="2"/>
        </w:numPr>
        <w:spacing w:before="60" w:after="60"/>
      </w:pPr>
      <w:r>
        <w:rPr>
          <w:rFonts w:ascii="Arial" w:cs="Arial" w:eastAsia="Arial" w:hAnsi="Arial"/>
          <w:color w:val="1B2A4A"/>
          <w:sz w:val="22"/>
          <w:szCs w:val="22"/>
        </w:rPr>
        <w:t xml:space="preserve">Theotokis, P. (Ed.) Special Issue: LLM Effects on Attention, Memory, and Decision-Making. Front. Neurosci., 2025.</w:t>
      </w:r>
    </w:p>
    <w:p>
      <w:pPr>
        <w:pStyle w:val="ListParagraph"/>
        <w:numPr>
          <w:ilvl w:val="0"/>
          <w:numId w:val="2"/>
        </w:numPr>
        <w:spacing w:before="60" w:after="60"/>
      </w:pPr>
      <w:r>
        <w:rPr>
          <w:rFonts w:ascii="Arial" w:cs="Arial" w:eastAsia="Arial" w:hAnsi="Arial"/>
          <w:color w:val="1B2A4A"/>
          <w:sz w:val="22"/>
          <w:szCs w:val="22"/>
        </w:rPr>
        <w:t xml:space="preserve">Pierno, A.C. et al. Learned motor patterns are replayed in human motor cortex during action observation. PNAS, 2006.</w:t>
      </w:r>
    </w:p>
    <w:p>
      <w:pPr>
        <w:spacing w:before="0" w:after="0"/>
      </w:pPr>
      <w:r>
        <w:t xml:space="preserve"/>
      </w:r>
    </w:p>
    <w:p>
      <w:pPr>
        <w:spacing w:before="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E4D8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2026-02-21T23:38:52.103Z</dcterms:created>
  <dcterms:modified xsi:type="dcterms:W3CDTF">2026-02-21T23:38:52.104Z</dcterms:modified>
</cp:coreProperties>
</file>

<file path=docProps/custom.xml><?xml version="1.0" encoding="utf-8"?>
<Properties xmlns="http://schemas.openxmlformats.org/officeDocument/2006/custom-properties" xmlns:vt="http://schemas.openxmlformats.org/officeDocument/2006/docPropsVTypes"/>
</file>