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20"/>
        <w:jc w:val="center"/>
      </w:pPr>
      <w:r>
        <w:rPr>
          <w:rFonts w:ascii="Arial" w:cs="Arial" w:eastAsia="Arial" w:hAnsi="Arial"/>
          <w:b/>
          <w:bCs/>
          <w:color w:val="14532D"/>
          <w:sz w:val="88"/>
          <w:szCs w:val="88"/>
        </w:rPr>
        <w:t xml:space="preserve">MAXIMUM FUNDING</w:t>
      </w:r>
    </w:p>
    <w:p>
      <w:pPr>
        <w:spacing w:before="0" w:after="80"/>
        <w:jc w:val="center"/>
      </w:pPr>
      <w:r>
        <w:rPr>
          <w:rFonts w:ascii="Arial" w:cs="Arial" w:eastAsia="Arial" w:hAnsi="Arial"/>
          <w:b/>
          <w:bCs/>
          <w:color w:val="14532D"/>
          <w:sz w:val="56"/>
          <w:szCs w:val="56"/>
        </w:rPr>
        <w:t xml:space="preserve">OPTIMIZATION PLAYBOOK</w:t>
      </w:r>
    </w:p>
    <w:p>
      <w:pPr>
        <w:pBdr>
          <w:bottom w:val="single" w:color="B45309" w:sz="10"/>
        </w:pBdr>
        <w:spacing w:before="0" w:after="120"/>
        <w:jc w:val="center"/>
      </w:pPr>
      <w:r>
        <w:t xml:space="preserve"/>
      </w:r>
    </w:p>
    <w:p>
      <w:pPr>
        <w:spacing w:before="120" w:after="40"/>
        <w:jc w:val="center"/>
      </w:pPr>
      <w:r>
        <w:rPr>
          <w:rFonts w:ascii="Arial" w:cs="Arial" w:eastAsia="Arial" w:hAnsi="Arial"/>
          <w:b/>
          <w:bCs/>
          <w:color w:val="1E3A5F"/>
          <w:sz w:val="32"/>
          <w:szCs w:val="32"/>
        </w:rPr>
        <w:t xml:space="preserve">OpenClaw · MACNN-RLS · Hydra Sentinel-X</w:t>
      </w:r>
    </w:p>
    <w:p>
      <w:pPr>
        <w:spacing w:before="0" w:after="80"/>
        <w:jc w:val="center"/>
      </w:pPr>
      <w:r>
        <w:rPr>
          <w:rFonts w:ascii="Arial" w:cs="Arial" w:eastAsia="Arial" w:hAnsi="Arial"/>
          <w:i/>
          <w:iCs/>
          <w:color w:val="374151"/>
          <w:sz w:val="24"/>
          <w:szCs w:val="24"/>
        </w:rPr>
        <w:t xml:space="preserve">AI Agentic &amp; Generative Systems · R&amp;D · Business Auditing · All-Inclusive Solutions</w:t>
      </w:r>
    </w:p>
    <w:p>
      <w:pPr>
        <w:spacing w:before="0" w:after="80"/>
        <w:jc w:val="center"/>
      </w:pPr>
      <w:r>
        <w:rPr>
          <w:rFonts w:ascii="Arial" w:cs="Arial" w:eastAsia="Arial" w:hAnsi="Arial"/>
          <w:i/>
          <w:iCs/>
          <w:color w:val="6B7280"/>
          <w:sz w:val="22"/>
          <w:szCs w:val="22"/>
        </w:rPr>
        <w:t xml:space="preserve">Federal · State · County · Local · Grants · Loans · Crowdfunding · Research Capital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Federal Grant Catalog (35+ programs)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Illinois State Funding (20+ programs)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Cook County + Tinley Park Local</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NSF, SBIR, STTR, DOE, DARPA, NIH</w:t>
            </w:r>
          </w:p>
        </w:tc>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DCEO, EDGE, Intersect Illinois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Community Development Funds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Non-Dilutive R&amp;D Capital Pathway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Argonne, UI Labs, 1871 Chicago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Property Tax Incentives + TIFs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Crowdfunding: Equity + Rewards + Debt</w:t>
            </w:r>
          </w:p>
        </w:tc>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CDFI Loans 0–3% Interest</w:t>
            </w:r>
          </w:p>
        </w:tc>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SBA 7(a), 504, Microloan Programs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Business Audit Services Revenue Model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AI Research Entity Structure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  Compliance + IP Protection Strategy</w:t>
            </w:r>
          </w:p>
        </w:tc>
      </w:tr>
    </w:tbl>
    <w:p>
      <w:pPr>
        <w:spacing w:before="0" w:after="0"/>
      </w:pPr>
      <w:r>
        <w:t xml:space="preserve"/>
      </w:r>
    </w:p>
    <w:p>
      <w:pPr>
        <w:spacing w:before="0" w:after="0"/>
      </w:pPr>
      <w:r>
        <w:t xml:space="preserve"/>
      </w:r>
    </w:p>
    <w:p>
      <w:pPr>
        <w:jc w:val="center"/>
      </w:pPr>
      <w:r>
        <w:rPr>
          <w:rFonts w:ascii="Arial" w:cs="Arial" w:eastAsia="Arial" w:hAnsi="Arial"/>
          <w:color w:val="6B7280"/>
          <w:sz w:val="20"/>
          <w:szCs w:val="20"/>
        </w:rPr>
        <w:t xml:space="preserve">Tinley Park, Illinois · 2025–2027 Comprehensive Capital Acquisition Strategy</w:t>
      </w:r>
    </w:p>
    <w:p>
      <w:r>
        <w:br w:type="page"/>
      </w:r>
    </w:p>
    <w:p>
      <w:pPr>
        <w:pStyle w:val="Heading1"/>
        <w:pBdr>
          <w:bottom w:val="single" w:color="1D4ED8" w:sz="8" w:space="2"/>
        </w:pBdr>
        <w:spacing w:before="360" w:after="180"/>
      </w:pPr>
      <w:r>
        <w:rPr>
          <w:rFonts w:ascii="Arial" w:cs="Arial" w:eastAsia="Arial" w:hAnsi="Arial"/>
          <w:b/>
          <w:bCs/>
          <w:color w:val="0F172A"/>
          <w:sz w:val="34"/>
          <w:szCs w:val="34"/>
        </w:rPr>
        <w:t xml:space="preserve">SECTION 1: Optimal Business Structure for Maximum Funding Access</w:t>
      </w:r>
    </w:p>
    <w:p>
      <w:pPr>
        <w:spacing w:before="80" w:after="120"/>
        <w:jc w:val="both"/>
      </w:pPr>
      <w:r>
        <w:rPr>
          <w:rFonts w:ascii="Arial" w:cs="Arial" w:eastAsia="Arial" w:hAnsi="Arial"/>
          <w:b w:val="false"/>
          <w:bCs w:val="false"/>
          <w:i w:val="false"/>
          <w:iCs w:val="false"/>
          <w:color w:val="0F172A"/>
          <w:sz w:val="22"/>
          <w:szCs w:val="22"/>
        </w:rPr>
        <w:t xml:space="preserve">The legal and operational structure of your business determines which funding sources you can access, how much you can receive, and how quickly. The following structure is engineered specifically to maximize eligibility across federal, state, and local programs simultaneously.</w:t>
      </w:r>
    </w:p>
    <w:p>
      <w:pPr>
        <w:spacing w:before="0" w:after="0"/>
      </w:pPr>
      <w:r>
        <w:t xml:space="preserve"/>
      </w:r>
    </w:p>
    <w:p>
      <w:pPr>
        <w:pStyle w:val="Heading2"/>
        <w:spacing w:before="280" w:after="140"/>
      </w:pPr>
      <w:r>
        <w:rPr>
          <w:rFonts w:ascii="Arial" w:cs="Arial" w:eastAsia="Arial" w:hAnsi="Arial"/>
          <w:b/>
          <w:bCs/>
          <w:color w:val="1E3A5F"/>
          <w:sz w:val="26"/>
          <w:szCs w:val="26"/>
        </w:rPr>
        <w:t xml:space="preserve">1.1  Recommended Entity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800"/>
        <w:gridCol w:w="1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Purpose</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Recommended Name</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Entity Type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w:t>
            </w:r>
          </w:p>
        </w:tc>
        <w:tc>
          <w:tcPr>
            <w:tcW w:type="dxa" w:w="1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Funding Access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Primary Operating Entity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AI Solutions LLC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LLC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Controls IP, receives contracts, employs staff</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SBIR, STTR, SBA loans, state grants, consulting revenue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R&amp;D Subsidiary (optional Year 2)</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Research Institute Inc.</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C-Corp or 501(c)(3)</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Dedicated R&amp;D, eligible for additional grant categories</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NIH, NSF research grants, foundation grants, university partnerships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Holding Entity (optional Year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Holdings LLC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LLC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Owns IP portfolio, licenses to operating entity</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Asset protection, investment structure, Reg CF crowdfunding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60"/>
              <w:left w:type="dxa" w:w="220"/>
              <w:bottom w:type="dxa" w:w="160"/>
              <w:right w:type="dxa" w:w="220"/>
            </w:tcMar>
          </w:tcPr>
          <w:p>
            <w:pPr>
              <w:spacing w:before="0" w:after="0"/>
            </w:pPr>
            <w:r>
              <w:rPr>
                <w:rFonts w:ascii="Arial" w:cs="Arial" w:eastAsia="Arial" w:hAnsi="Arial"/>
                <w:b w:val="false"/>
                <w:bCs w:val="false"/>
                <w:color w:val="0F172A"/>
                <w:sz w:val="21"/>
                <w:szCs w:val="21"/>
              </w:rPr>
              <w:t xml:space="preserve">CRITICAL: For NSF SBIR and most federal SBIR/STTR programs, the business must be a for-profit US entity (LLC or C-Corp) with the PI as a primary employee (defined as more than 50% of their time). The LLC is the right structure to start. Register at ilsos.gov for $150.</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1.2  NAICS Codes — Register ALL That Apply</w:t>
      </w:r>
    </w:p>
    <w:p>
      <w:pPr>
        <w:spacing w:before="80" w:after="120"/>
        <w:jc w:val="both"/>
      </w:pPr>
      <w:r>
        <w:rPr>
          <w:rFonts w:ascii="Arial" w:cs="Arial" w:eastAsia="Arial" w:hAnsi="Arial"/>
          <w:b w:val="false"/>
          <w:bCs w:val="false"/>
          <w:i w:val="false"/>
          <w:iCs w:val="false"/>
          <w:color w:val="0F172A"/>
          <w:sz w:val="22"/>
          <w:szCs w:val="22"/>
        </w:rPr>
        <w:t xml:space="preserve">Registering the correct NAICS codes in SAM.gov, your state business registration, and all grant applications is mandatory. Missing codes means missed eligibility. Register all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NAICS Code</w:t>
            </w:r>
          </w:p>
        </w:tc>
        <w:tc>
          <w:tcPr>
            <w:tcW w:type="dxa" w:w="4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39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541715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Research and Development in the Physical, Engineering, and Life Sciences (except Nanotechnology and Biotechnology)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Primary R&amp;D code for MACNN-RLS and OpenClaw research</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541511</w:t>
            </w:r>
          </w:p>
        </w:tc>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Custom Computer Programming Services</w:t>
            </w:r>
          </w:p>
        </w:tc>
        <w:tc>
          <w:tcPr>
            <w:tcW w:type="dxa" w:w="3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Covers OpenClaw software development and consulting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541512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Computer Systems Design Services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Covers architecture audits and system design services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541519</w:t>
            </w:r>
          </w:p>
        </w:tc>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Other Computer Related Services</w:t>
            </w:r>
          </w:p>
        </w:tc>
        <w:tc>
          <w:tcPr>
            <w:tcW w:type="dxa" w:w="3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Covers AI consulting, auditing services, managed services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611420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Computer Training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Covers AI literacy and training workshops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519130</w:t>
            </w:r>
          </w:p>
        </w:tc>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Internet Publishing and Broadcasting and Web Search Portals</w:t>
            </w:r>
          </w:p>
        </w:tc>
        <w:tc>
          <w:tcPr>
            <w:tcW w:type="dxa" w:w="3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Covers ClawHub marketplace and SaaS platform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541990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All Other Professional, Scientific, and Technical Services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Catch-all for advisory and strategic services</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1.3  Required Registrations — Complete Before Any Federal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Registration</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Name</w:t>
            </w:r>
          </w:p>
        </w:tc>
        <w:tc>
          <w:tcPr>
            <w:tcW w:type="dxa" w:w="3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Purpose</w:t>
            </w:r>
          </w:p>
        </w:tc>
        <w:tc>
          <w:tcPr>
            <w:tcW w:type="dxa" w:w="23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SAM.gov</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System for Award Management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Required for ALL federal grants and contracts; free; renew annually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immediately; takes 3–10 business days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DUNS / UEI</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Unique Entity Identifier</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Replaced DUNS in April 2022; issued through SAM.gov</w:t>
            </w:r>
          </w:p>
        </w:tc>
        <w:tc>
          <w:tcPr>
            <w:tcW w:type="dxa" w:w="2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Auto-issued during SAM.gov registration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Employer Identification Number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Required for LLC; apply at IRS.gov</w:t>
            </w:r>
          </w:p>
        </w:tc>
        <w:tc>
          <w:tcPr>
            <w:tcW w:type="dxa" w:w="2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online; issued immediately; free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Illinois.gov Business Portal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State business license and registration</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Required for Illinois state grants</w:t>
            </w:r>
          </w:p>
        </w:tc>
        <w:tc>
          <w:tcPr>
            <w:tcW w:type="dxa" w:w="2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after LLC formation; $150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E-Verify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Federal employment verification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Required for some federal contracts and grants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register at uscis.gov/e-verify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CAGE Code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Commercial and Government Entity Code</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Required for federal contracting; assigned through SAM.gov</w:t>
            </w:r>
          </w:p>
        </w:tc>
        <w:tc>
          <w:tcPr>
            <w:tcW w:type="dxa" w:w="2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Auto-assigned during SAM.gov registration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Patent Pending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Provisional patent for OpenClaw/OMEGA ROOT kernel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Protects IP for SBIR applications; strengthens investor story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File provisional at USPTO; $320 micro-entity fee</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2: Federal Grant Programs — Complete Catalog</w:t>
      </w:r>
    </w:p>
    <w:p>
      <w:pPr>
        <w:pStyle w:val="Heading2"/>
        <w:spacing w:before="280" w:after="140"/>
      </w:pPr>
      <w:r>
        <w:rPr>
          <w:rFonts w:ascii="Arial" w:cs="Arial" w:eastAsia="Arial" w:hAnsi="Arial"/>
          <w:b/>
          <w:bCs/>
          <w:color w:val="1E3A5F"/>
          <w:sz w:val="26"/>
          <w:szCs w:val="26"/>
        </w:rPr>
        <w:t xml:space="preserve">2.1  SBIR / STTR — Your Highest-Value Federal Programs</w:t>
      </w:r>
    </w:p>
    <w:p>
      <w:pPr>
        <w:spacing w:before="80" w:after="120"/>
        <w:jc w:val="both"/>
      </w:pPr>
      <w:r>
        <w:rPr>
          <w:rFonts w:ascii="Arial" w:cs="Arial" w:eastAsia="Arial" w:hAnsi="Arial"/>
          <w:b w:val="false"/>
          <w:bCs w:val="false"/>
          <w:i w:val="false"/>
          <w:iCs w:val="false"/>
          <w:color w:val="0F172A"/>
          <w:sz w:val="22"/>
          <w:szCs w:val="22"/>
        </w:rPr>
        <w:t xml:space="preserve">Small Business Innovation Research (SBIR) and Small Business Technology Transfer (STTR) are the most important federal funding programs for a deep-tech AI company. Combined, they distribute over $4 billion annually. Your MACNN-RLS architecture and OpenClaw platform are directly aligned with active solicitations across multiple agencies.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4E3B" w:sz="1"/>
              <w:left w:val="single" w:color="064E3B" w:sz="1"/>
              <w:bottom w:val="single" w:color="064E3B" w:sz="1"/>
              <w:right w:val="single" w:color="064E3B" w:sz="1"/>
            </w:tcBorders>
            <w:shd w:fill="D1FAE5" w:val="clear"/>
            <w:tcMar>
              <w:top w:type="dxa" w:w="160"/>
              <w:left w:type="dxa" w:w="220"/>
              <w:bottom w:type="dxa" w:w="160"/>
              <w:right w:type="dxa" w:w="220"/>
            </w:tcMar>
          </w:tcPr>
          <w:p>
            <w:pPr>
              <w:spacing w:before="0" w:after="0"/>
            </w:pPr>
            <w:r>
              <w:rPr>
                <w:rFonts w:ascii="Arial" w:cs="Arial" w:eastAsia="Arial" w:hAnsi="Arial"/>
                <w:b/>
                <w:bCs/>
                <w:color w:val="064E3B"/>
                <w:sz w:val="21"/>
                <w:szCs w:val="21"/>
              </w:rPr>
              <w:t xml:space="preserve">SBIR/STTR Total Available to You: $275K (Phase I) + $1M (Phase II) + $500K (Phase IIB) = $1.775M non-dilutive across one agency alone. With multiple agency applications, total addressable SBIR/STTR capital exceeds $5M.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400"/>
        <w:gridCol w:w="2200"/>
        <w:gridCol w:w="1160"/>
        <w:gridCol w:w="1200"/>
      </w:tblGrid>
      <w:tr>
        <w:trPr>
          <w:tblHeader/>
        </w:trPr>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Full Name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Amount</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Deadline</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AI/Tech Focus</w:t>
            </w:r>
          </w:p>
        </w:tc>
        <w:tc>
          <w:tcPr>
            <w:tcW w:type="dxa" w:w="1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URL</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Alignment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SBIR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National Science Foundation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$275K Phase I / $1M Phase II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deadlines; 3 windows/year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AI/ML, cognitive computing, human-AI interaction, autonomous systems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seedfund.nsf.gov</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HIGHEST PRIORITY: Direct match to MACNN-RLS and OpenClaw</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DOE SBIR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Dept. of Energy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$225K Phase I / $1.1M Phase II</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2x per year (spring/fall)</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energy grid management, neuromorphic computing, quantum systems</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science.osti.gov/sbir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match for neuromorphic/quantum substrate work</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DARPA SBIR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Defense Advanced Research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$1M–3M Phase 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Autonomous systems, multi-agent AI, Byzantine fault tolerance, AI safety</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darpa.mil/work-with-us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Highest funding but most competitive; 18-month prep required</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NIH SBIR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 Institutes of Health</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$300K Phase I / $1M Phase II</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 deadlines/year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healthcare, brain-computer interfaces, cognitive neuroscience</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grants.nih.gov/funding/sbir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Match: BCI applications, rehabilitation AI, cognitive assessment tools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DHS SBIR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Dept. of Homeland Security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$150K Phase I / $1M Phase II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threat detection, cyber security, autonomous monitoring</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sbir.dhs.gov</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Match: Wolfpack detection, Byzantine fault tolerance security applications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DoD SBIR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Dept. of Defense (various)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$250K Phase I / $1.5M Phase II</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 annual windows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Multi-agent autonomous systems, AI decision support, secure comms</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defense.gov/sbir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match for swarm intelligence and adversarial consensus research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USDA SBIR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Dept. of Agriculture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$175K Phase I / $550K Phase II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(October)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precision agriculture, supply chain, rural development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nifa.usda.gov/sbir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Match if pivoting supply chain optimization vertical</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EPA SBIR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Environmental Protection Agency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$100K Phase I / $400K Phase II</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environmental monitoring, sustainability</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epa.gov/sbir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Match for AI-driven compliance monitoring services</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2.2  Federal Research and Innovation Grants (Non-SBIR)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2000"/>
        <w:gridCol w:w="11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Amount</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Deadline</w:t>
            </w:r>
          </w:p>
        </w:tc>
        <w:tc>
          <w:tcPr>
            <w:tcW w:type="dxa" w:w="1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I-Corps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National Science Foundation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$50K for customer discovery; pathway to SBIR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at any NSF I-Corps Hub; nearest is University of Chicago / Northwestern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Customer validation stipend; mandatory for SBIR success rate improvement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RAPID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Rapid Response Research</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$200K for time-sensitive research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requires NSF program officer contact first</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Fast-track AI safety and governance research funding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DOE ARPA-E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Advanced Research Projects Agency – Energy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$500K–2M for breakthrough energy technology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open solicitation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AI-optimized energy grid management; neuromorphic computing for efficiency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NIST Advanced Manufacturing</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National Institute of Standards and Technology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$50K–$500K</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solicitations</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standards development, measurement science, digital manufacturing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EDA Build to Scale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Economic Development Administration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$500K–3M for innovation ecosystems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(summer)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as platform infrastructure for regional AI ecosystem; partner with 1871</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Growth Accelerator Fund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Small Business Administration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$50K–$100K for accelerators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Create an OpenClaw AI Accelerator program; apply as accelerator operator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CHIPS and Science Act R&amp;D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Multiple agencies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$100M+ program; competitive subgrants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Neuromorphic chip integration research; Loihi deployment work</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2.3  Federal Contracts and Procurement</w:t>
      </w:r>
    </w:p>
    <w:p>
      <w:pPr>
        <w:spacing w:before="80" w:after="120"/>
        <w:jc w:val="both"/>
      </w:pPr>
      <w:r>
        <w:rPr>
          <w:rFonts w:ascii="Arial" w:cs="Arial" w:eastAsia="Arial" w:hAnsi="Arial"/>
          <w:b w:val="false"/>
          <w:bCs w:val="false"/>
          <w:i w:val="false"/>
          <w:iCs w:val="false"/>
          <w:color w:val="0F172A"/>
          <w:sz w:val="22"/>
          <w:szCs w:val="22"/>
        </w:rPr>
        <w:t xml:space="preserve">Federal contracts are not grants but represent recurring, substantial revenue. Your SAM.gov registration enables you to bid on federal contracts. Key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400"/>
        <w:gridCol w:w="1960"/>
      </w:tblGrid>
      <w:tr>
        <w:trPr>
          <w:tblHeader/>
        </w:trPr>
        <w:tc>
          <w:tcPr>
            <w:tcW w:type="dxa" w:w="2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3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9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 / Eligibility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8(a) Business Development Program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9-year certification; sole-source contracts up to $4.5M; competitive contracts with set-aside preference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at SBA.gov; requires 2 years in business; 51% owned by socially or economically disadvantaged individual</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HUBZone Certification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Price preference of 10% on federal contracts; sole-source up to $4.5M</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Tinley Park may qualify; check HUBZone map at sba.gov/hubzone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GSA Schedule (IT Schedule 70)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General Services Administration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Pre-negotiated pricing for federal IT purchases; $15B+ in annual sales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after 2 years in business and $25K in annual revenue; IT Category includes AI services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CIO-SP4 (NIH)</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NIH / NITAAC</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$50B GWAC for IT and AI services across all federal agencies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Small business set-aside track; apply through NITAAC.nih.gov</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SEWP VI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NASA</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$20B+ IT commodity and AI services contract vehicle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Application opens periodically; enables sales to all federal agencies</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3: Illinois State Funding Programs</w:t>
      </w:r>
    </w:p>
    <w:p>
      <w:pPr>
        <w:pStyle w:val="Heading2"/>
        <w:spacing w:before="280" w:after="140"/>
      </w:pPr>
      <w:r>
        <w:rPr>
          <w:rFonts w:ascii="Arial" w:cs="Arial" w:eastAsia="Arial" w:hAnsi="Arial"/>
          <w:b/>
          <w:bCs/>
          <w:color w:val="1E3A5F"/>
          <w:sz w:val="26"/>
          <w:szCs w:val="26"/>
        </w:rPr>
        <w:t xml:space="preserve">3.1  Illinois Department of Commerce and Economic Opportunity (DCEO)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00"/>
        <w:gridCol w:w="1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c>
          <w:tcPr>
            <w:tcW w:type="dxa" w:w="13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EDGE Tax Credit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Economic Development for a Growing Economy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Tax credit equal to income tax withheld from new employees + corporate income tax abatement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within 30 days of meeting job creation threshold; minimum 25 new jobs for standard program (10 for small businesses)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 credits claimed annually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Intersect Illinois Technology Fund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Intersect Illinois / DCEO</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 and investment for high-growth tech companies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through intersectillinois.org; focus on AI, advanced manufacturing, biotech</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applications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Innovation Voucher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DCEO / Illinois Science and Technology Coalition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$50K for small businesses to purchase R&amp;D services from Illinois universities or national labs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Perfect for engaging Argonne or University of Illinois on MACNN-RLS research</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Biannual application windows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New Markets Development Program</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DCEO</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Tax credit for investments in low-income communities; indirect funding mechanism</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Tinley Park adjacent communities may qualify; work with CDFI intermediary</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Enterprise Zone Program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DCEO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State tax incentives (sales tax exemption, income tax deduction) for businesses in designated zones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Check if Tinley Park has active Enterprise Zone; apply through village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Manufacturers Fund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DCEO (advanced manufacturing)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$5K–$150K for technology adoption and process improvement</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AI-enabled manufacturing optimization services; applies to clients you serve</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Quarterly applications</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3.2  Illinois Technology and Research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600"/>
        <w:gridCol w:w="1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Institution</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c>
          <w:tcPr>
            <w:tcW w:type="dxa" w:w="13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UI Labs / DMDII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University of Illinois at Chicago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Collaborative R&amp;D program for digital manufacturing and AI; $250K–2M project grants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Partner with UIC for MACNN-RLS applied research; uilabs.org</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solicitation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Argonne Chain Reaction Innovations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Argonne National Laboratory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2-year residency; $250K in lab resources; mentor network; zero equity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HIGHEST PRIORITY: Apply for next cohort at chainreaction.anl.gov; Lemont IL is 10 miles from Tinley Park</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cohort (apply 6 months early)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Fermilab Accelerate Program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Fermilab (Batavia, 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Technology accelerator for deep-tech startups; lab access and mentorship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Quantum computing applications of MACNN-RLS architecture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cohort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Institute of Technology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IIT (Chicago)</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Research partnership grants; shared IP agreements; student labor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Formal research collaboration on MACNN-RLS neuromorphic implementation</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 contact research office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1871 / Techstars Chicago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1871 (Chicago)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Accelerator: $120K for 6% equity + extensive network and enterprise introductions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enterprise AI focus; alumni include multiple AI infrastructure companies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cohort (spring/fall)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MATTER Health Tech</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MATTER (Chicago)</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Health tech incubator; grants and partnerships for healthcare AI</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Rehabilitation AI (autism, aphasia applications from MACNN-RLS v3.0)</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membership; grant competitions quarterly</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3.3  Illinois Small Business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600"/>
        <w:gridCol w:w="15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Institution</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c>
          <w:tcPr>
            <w:tcW w:type="dxa" w:w="15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 SBDC at Governors State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Governors State University (University Park, 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business consulting, grant preparation, financial planning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IMMEDIATE: Call (708) 534-4929 and book free SBIR preparation session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ongoing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Advantage Fund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Finance Authority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Low-interest loans $50K–$10M for IL businesses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Available after 6 months of operation and demonstrated revenue</w:t>
            </w:r>
          </w:p>
        </w:tc>
        <w:tc>
          <w:tcPr>
            <w:tcW w:type="dxa" w:w="1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applications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Opportunity Fund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DCEO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Equity and near-equity investments $100K–$2M for high-growth companies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after NSF SBIR submission and first enterprise pilot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selection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Minority Business Development Agency (MBDA)</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US Dept. of Commerce / IL MBDA Center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Business development services and grant facilitation for minority-owned businesses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Contact MBDA Business Center at UIC if eligible; significant additional grant access</w:t>
            </w:r>
          </w:p>
        </w:tc>
        <w:tc>
          <w:tcPr>
            <w:tcW w:type="dxa" w:w="1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consulting; ongoing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Women’s Business Center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 IL Women’s Business Development Center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Business development services for women-owned businesses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If applicable; significant set-aside contract and grant advantages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ongoing</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4: Cook County and Local (Tinley Park) Funding</w:t>
      </w:r>
    </w:p>
    <w:p>
      <w:pPr>
        <w:pStyle w:val="Heading2"/>
        <w:spacing w:before="280" w:after="140"/>
      </w:pPr>
      <w:r>
        <w:rPr>
          <w:rFonts w:ascii="Arial" w:cs="Arial" w:eastAsia="Arial" w:hAnsi="Arial"/>
          <w:b/>
          <w:bCs/>
          <w:color w:val="1E3A5F"/>
          <w:sz w:val="26"/>
          <w:szCs w:val="26"/>
        </w:rPr>
        <w:t xml:space="preserve">4.1  Cook County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Entity</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Cook County Bureau of Economic Development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Cook County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Small business grants and low-interest loans; AI and tech priority sectors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Contact Cook County BED; cookcountyil.gov/agency/bureau-economic-development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$10K–$100K grants available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Cook County Community Development Block Grant (CDBG)</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HUD / Cook County</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Federal funds administered locally for economic development and job creation in low-to-moderate income areas</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through Cook County BED; job creation in Tinley Park area may qualify</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application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South Suburban Economic Development District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SSEDC (Cook/Will County)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Regional economic development grants and technical assistance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Tinley Park is in service area; apply for business development assistance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South Suburban Mayors and Managers Association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SSMMA</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Regional planning and economic development; grant writing assistance</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Member municipalities include Tinley Park; free technical assistance available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4.2  Village of Tinley Park Direct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Entity</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Economic Development Incentives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Village of Tinley Park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Property tax abatements, TIF district funding, business improvement grants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Contact: Tinley Park Economic Development (708) 444-5000; direct application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Tax Increment Financing (TIF) Districts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Village of Tinley Park</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Special tax capture zones for business development; grants from TIF fund surplus</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Check if your business location is in a TIF district; TIF funds can cover equipment and facility costs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Business Retention and Expansion Program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Village of Tinley Park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Direct business assistance, referrals to county/state programs, permitting assistance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your business with the village; they actively connect businesses to funding</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immediate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Will County (if applicable)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Will County Center for Economic Development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Additional county-level grants if operations extend to Will County</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Contact will-county.com for business services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4.3  Community Development Financial Institutions (CDFIs) — Illinois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1760"/>
        <w:gridCol w:w="180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CDFI</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Location</w:t>
            </w:r>
          </w:p>
        </w:tc>
        <w:tc>
          <w:tcPr>
            <w:tcW w:type="dxa" w:w="3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 Details</w:t>
            </w:r>
          </w:p>
        </w:tc>
        <w:tc>
          <w:tcPr>
            <w:tcW w:type="dxa" w:w="17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 / Notes</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Accion Opportunity Fund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$5K–$250K small business loans at 8–16% APR; startup-friendly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accionopportunityfund.org; fast approval (5–10 business days); available pre-revenue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Immediate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 Community Loan Fund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$50K–2M at 4–8% APR; CDFI-certified; supports underserved entrepreneurs</w:t>
            </w:r>
          </w:p>
        </w:tc>
        <w:tc>
          <w:tcPr>
            <w:tcW w:type="dxa" w:w="1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chicagocommunityloans.com; requires 6 months operating history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IFF (Illinois Facilities Fund)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Statewide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Low-interest loans for nonprofits and social enterprises; up to $5M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Applicable if forming 501(c)(3) research entity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Midwest Microfinance</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 metro</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$1K–$50K microloans at low rates; startup-eligible</w:t>
            </w:r>
          </w:p>
        </w:tc>
        <w:tc>
          <w:tcPr>
            <w:tcW w:type="dxa" w:w="1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midwestmicro.org; fastest path to small capital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Immediate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LISC Chicago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$50K–3M community development loans; flexible terms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lisc.org/chicago; business plan required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applications</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5: SBA Loan Programs</w:t>
      </w:r>
    </w:p>
    <w:p>
      <w:pPr>
        <w:pStyle w:val="Heading2"/>
        <w:spacing w:before="280" w:after="140"/>
      </w:pPr>
      <w:r>
        <w:rPr>
          <w:rFonts w:ascii="Arial" w:cs="Arial" w:eastAsia="Arial" w:hAnsi="Arial"/>
          <w:b/>
          <w:bCs/>
          <w:color w:val="1E3A5F"/>
          <w:sz w:val="26"/>
          <w:szCs w:val="26"/>
        </w:rPr>
        <w:t xml:space="preserve">5.1  SBA Loan Program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800"/>
        <w:gridCol w:w="2200"/>
        <w:gridCol w:w="19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Max Amount</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Rate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Term</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Best For</w:t>
            </w:r>
          </w:p>
        </w:tc>
        <w:tc>
          <w:tcPr>
            <w:tcW w:type="dxa" w:w="19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Eligibility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7(a) Standard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Prime + 2.75%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 years (working capital), 25 years (real estate)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Most flexible; covers working capital, equipment, software licenses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 years in business; personal credit 680+; revenue required</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7(a) Small</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$500K</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Prime + 4%</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 years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Faster approval; ideal for equipment and software purchases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Same as standard; faster turnaround (2–3 weeks)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504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$125K–20M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 fixed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 or 20 years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Equipment and real estate; 40% SBA, 50% bank, 10% borrower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Requires CDC partnership; excellent for data center / server equipment</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Microloan</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$50K</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 13%</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6 years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Startups and very small businesses; technical assistance included</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Available pre-revenue; approved through nonprofit intermediaries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Express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$500K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Prime + 4.5%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7 years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Fastest SBA loan (36-hour approval decision)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680+ credit; $5K minimum bank relationship</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CAPLine (Seasonal)</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$5M</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Variable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 years revolving</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Working capital line for seasonal businesses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 history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Export Express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$500K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Prime + 4%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7 years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International expansion of OpenClaw to non-US markets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 from export-related activities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60"/>
              <w:left w:type="dxa" w:w="220"/>
              <w:bottom w:type="dxa" w:w="160"/>
              <w:right w:type="dxa" w:w="220"/>
            </w:tcMar>
          </w:tcPr>
          <w:p>
            <w:pPr>
              <w:spacing w:before="0" w:after="0"/>
            </w:pPr>
            <w:r>
              <w:rPr>
                <w:rFonts w:ascii="Arial" w:cs="Arial" w:eastAsia="Arial" w:hAnsi="Arial"/>
                <w:b w:val="false"/>
                <w:bCs w:val="false"/>
                <w:color w:val="0F172A"/>
                <w:sz w:val="21"/>
                <w:szCs w:val="21"/>
              </w:rPr>
              <w:t xml:space="preserve">Best first SBA loan for OpenClaw: SBA Microloan through Accion or Midwest Microfinance. No revenue history required. $10K–$50K. Use it to cover LLC formation costs, first month API expenses, and provisional patent filing. Apply in Month 2 after first consulting invoice.</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5.2  SBA Lender Network — Illinois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Lender</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Coverage</w:t>
            </w:r>
          </w:p>
        </w:tc>
        <w:tc>
          <w:tcPr>
            <w:tcW w:type="dxa" w:w="3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SBA Program</w:t>
            </w:r>
          </w:p>
        </w:tc>
        <w:tc>
          <w:tcPr>
            <w:tcW w:type="dxa" w:w="19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Byline Bank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 metro</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Preferred Lender; fast approval; strong startup track record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Start application after 3 months of revenue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Heartland Bank and Trust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statewide</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7(a) and 504 specialist; rural and suburban business focus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for Tinley Park area; contact commercial lending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Wintrust Bank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 metro</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Preferred Lender; dedicated small business division; active in tech sector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Multiple branches in south suburban Chicago</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First Midwest Bank (now Old National)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statewide</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SBA program; active in AI and technology sector lending</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Good relationship for long-term banking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SCORE Mentors (free)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National / Chicago Chapter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SBA-backed mentorship; loan application preparation assistance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at score.org; matched with mentor in your industry</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6: Crowdfunding Strategies</w:t>
      </w:r>
    </w:p>
    <w:p>
      <w:pPr>
        <w:pStyle w:val="Heading2"/>
        <w:spacing w:before="280" w:after="140"/>
      </w:pPr>
      <w:r>
        <w:rPr>
          <w:rFonts w:ascii="Arial" w:cs="Arial" w:eastAsia="Arial" w:hAnsi="Arial"/>
          <w:b/>
          <w:bCs/>
          <w:color w:val="1E3A5F"/>
          <w:sz w:val="26"/>
          <w:szCs w:val="26"/>
        </w:rPr>
        <w:t xml:space="preserve">6.1  Equity Crowdfunding — Regulation CF (Reg CF)</w:t>
      </w:r>
    </w:p>
    <w:p>
      <w:pPr>
        <w:spacing w:before="80" w:after="120"/>
        <w:jc w:val="both"/>
      </w:pPr>
      <w:r>
        <w:rPr>
          <w:rFonts w:ascii="Arial" w:cs="Arial" w:eastAsia="Arial" w:hAnsi="Arial"/>
          <w:b w:val="false"/>
          <w:bCs w:val="false"/>
          <w:i w:val="false"/>
          <w:iCs w:val="false"/>
          <w:color w:val="0F172A"/>
          <w:sz w:val="22"/>
          <w:szCs w:val="22"/>
        </w:rPr>
        <w:t xml:space="preserve">Regulation CF allows companies to raise up to $5 million per year from the general public through SEC-registered crowdfunding portals. Your open-source community of developers who use OpenClaw can become your investor base — turning users into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800"/>
        <w:gridCol w:w="2560"/>
        <w:gridCol w:w="160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Platform</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HQ</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Raise Range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Platform Fee</w:t>
            </w:r>
          </w:p>
        </w:tc>
        <w:tc>
          <w:tcPr>
            <w:tcW w:type="dxa" w:w="25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Best For</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How to Apply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Republic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New York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$1K–5M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8–12% of raise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Best platform for deep-tech and developer-community startups; active tech investor base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republic.com/raise; apply 3–6 months before intended launch</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Wefunder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San Francisco</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$1K–5M</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7.5% of raise + $10K legal prep fee</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Largest Reg CF platform by volume; strong engineering/AI community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wefunder.com; apply 2–3 months before launch</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StartEngine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Los Angeles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$1K–5M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 of raise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Good for consumer-facing products; larger retail investor base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startengine.com</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NetCapital</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Boston</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$500K–5M</w:t>
            </w:r>
          </w:p>
        </w:tc>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4.9% of raise</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Lower fee platform; strong for B2B and enterprise software</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netcapital.com</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Mainvest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Boston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 sharing (not equity)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 of raise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Alternative structure: investors receive % of revenue; no equity dilution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mainvest.com; good if you want to preserve ownership</w:t>
            </w:r>
          </w:p>
        </w:tc>
      </w:tr>
    </w:tbl>
    <w:p>
      <w:pPr>
        <w:spacing w:before="0" w:after="0"/>
      </w:pPr>
      <w:r>
        <w:t xml:space="preserve"/>
      </w:r>
    </w:p>
    <w:p>
      <w:pPr>
        <w:spacing w:before="80" w:after="120"/>
        <w:jc w:val="both"/>
      </w:pPr>
      <w:r>
        <w:rPr>
          <w:rFonts w:ascii="Arial" w:cs="Arial" w:eastAsia="Arial" w:hAnsi="Arial"/>
          <w:b w:val="false"/>
          <w:bCs w:val="false"/>
          <w:i w:val="false"/>
          <w:iCs w:val="false"/>
          <w:color w:val="0F172A"/>
          <w:sz w:val="22"/>
          <w:szCs w:val="22"/>
        </w:rPr>
        <w:t xml:space="preserve">Optimal Reg CF timing: Launch after NSF SBIR submission, first enterprise pilot signed, and GitHub repository at 500+ stars. At that point you have a fundable narrative: working system, paying clients, non-dilutive capital in pipeline, developer community.</w:t>
      </w:r>
    </w:p>
    <w:p>
      <w:pPr>
        <w:pStyle w:val="Heading2"/>
        <w:spacing w:before="280" w:after="140"/>
      </w:pPr>
      <w:r>
        <w:rPr>
          <w:rFonts w:ascii="Arial" w:cs="Arial" w:eastAsia="Arial" w:hAnsi="Arial"/>
          <w:b/>
          <w:bCs/>
          <w:color w:val="1E3A5F"/>
          <w:sz w:val="26"/>
          <w:szCs w:val="26"/>
        </w:rPr>
        <w:t xml:space="preserve">6.2  Rewards-Based Crowdfunding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400"/>
        <w:gridCol w:w="2200"/>
        <w:gridCol w:w="21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Platform</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Best For</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Raise Range</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Application</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Kickstarter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Product/platform launch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$10K–$500K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 + payment fees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Pre-sell OpenClaw Enterprise lifetime licenses; early access to ClawHub</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for B2D (Business to Developer) campaigns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Indiegogo</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Technology and services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$10K–$250K</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 + payment fees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More flexible than Kickstarter; allows ongoing funding after goal reached</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InDemand feature for post-campaign sales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Product Hunt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Developer tools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Community validation + secondary crowdfunding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Launch OpenClaw Core on Product Hunt for community building and press coverage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 Product of the Day gives significant press coverage</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6.3  Debt Crowdfunding (Revenue-Based Financing)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2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Platform</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Type</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Range</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c>
          <w:tcPr>
            <w:tcW w:type="dxa" w:w="23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Clearco (formerly Clearbanc)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Revenue-based financing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$10K–$10M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6‒12% flat fee (no interest)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Repaid as % of monthly revenue; no equity dilution; requires $10K+/month revenue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after Month 4 when SaaS revenue begins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Capchase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Revenue-based financing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$10K–$2M</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Variable</w:t>
            </w:r>
          </w:p>
        </w:tc>
        <w:tc>
          <w:tcPr>
            <w:tcW w:type="dxa" w:w="2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Advance on annual SaaS contracts; get 12 months of ARR upfront</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when first annual SaaS contracts are signed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Pipe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recurring revenue financing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1x ARR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Variable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Trade future ARR for immediate capital at a discount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when OpenClaw SaaS has 3+ months of recurring revenue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Lighter Capital</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Technology startups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$50K–$4M</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5–15% revenue share</w:t>
            </w:r>
          </w:p>
        </w:tc>
        <w:tc>
          <w:tcPr>
            <w:tcW w:type="dxa" w:w="2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 revenue-based financing rounds over company life; no equity</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lightercapital.com; apply after $25K/month revenue</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7: Research-Stage and Deep-Tech Funding</w:t>
      </w:r>
    </w:p>
    <w:p>
      <w:pPr>
        <w:pStyle w:val="Heading2"/>
        <w:spacing w:before="280" w:after="140"/>
      </w:pPr>
      <w:r>
        <w:rPr>
          <w:rFonts w:ascii="Arial" w:cs="Arial" w:eastAsia="Arial" w:hAnsi="Arial"/>
          <w:b/>
          <w:bCs/>
          <w:color w:val="1E3A5F"/>
          <w:sz w:val="26"/>
          <w:szCs w:val="26"/>
        </w:rPr>
        <w:t xml:space="preserve">7.1  University Research Partnership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800"/>
        <w:gridCol w:w="1400"/>
        <w:gridCol w:w="1760"/>
      </w:tblGrid>
      <w:tr>
        <w:trPr>
          <w:tblHeader/>
        </w:trPr>
        <w:tc>
          <w:tcPr>
            <w:tcW w:type="dxa" w:w="3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c>
          <w:tcPr>
            <w:tcW w:type="dxa" w:w="17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URL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Industry-University Cooperative Research Centers (IUCRC)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Join existing AI/robotics IUCRC as industry member; access joint research projects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$10K–$30K annual membership; leverages $500K+ in university R&amp;D on your behalf</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iucrc.nsf.gov</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NIH R41/R42 SBIR-Partnership</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NIH</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University-industry SBIR research partnership; PI can be at university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Strong for BCI/rehabilitation AI applications from MACNN-RLS v3.0</w:t>
            </w:r>
          </w:p>
        </w:tc>
        <w:tc>
          <w:tcPr>
            <w:tcW w:type="dxa" w:w="1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grants.nih.gov</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Convergence Accelerator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$750K–2M for convergent AI research; requires academic partner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Partner with University of Chicago or Northwestern; align with active track</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accelerator.nsf.gov</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DOE Office of Science Early Career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$750K–2.5M over 5 years for early-career researchers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Requires academic partner or DOE laboratory collaboration (Argonne)</w:t>
            </w:r>
          </w:p>
        </w:tc>
        <w:tc>
          <w:tcPr>
            <w:tcW w:type="dxa" w:w="1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science.osti.gov</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IARPA (Intelligence Advanced Research Projects Activity)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IARPA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Multi-agent AI, cognitive computing, adversarial AI research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IARPA BAAs published on iarpa.gov; high funding, high classification requirements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iarpa.gov/index.php/research-programs</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7.2  Private Foundation and Corporate Research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rPr>
          <w:tblHeader/>
        </w:trPr>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Foundation</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Funder</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Amount / Focus</w:t>
            </w:r>
          </w:p>
        </w:tc>
        <w:tc>
          <w:tcPr>
            <w:tcW w:type="dxa" w:w="27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c>
          <w:tcPr>
            <w:tcW w:type="dxa" w:w="144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URL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Mozilla Foundation AI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Mozilla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$50K–$500K for trustworthy, open-source AI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Core open-source governance kernel is a direct match</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foundation.mozilla.org/en/what-we-fund/awards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Patrick J. McGovern Foundation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McGovern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 for AI for good; social impact focus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rehabilitation applications (autism, aphasia from MACNN-RLS v3.0)</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mcgovern.org/apply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Schmidt Futures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Eric Schmidt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Unrestricted research funding for exceptional technologists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after NSF SBIR and published arXiv preprint; competitive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schmidtfutures.com</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 Philanthropy AI Safety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 Philanthropy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$100K–2M for AI safety research</w:t>
            </w:r>
          </w:p>
        </w:tc>
        <w:tc>
          <w:tcPr>
            <w:tcW w:type="dxa" w:w="2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OMEGA ROOT governance kernel is explicit AI safety contribution</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openphilanthropy.org/focus/global-catastrophic-risks/potential-risks-advanced-ai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Omidyar Network Tech and Society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Omidyar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$200K–1M for responsible AI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Auditable, explainable AI for financial and healthcare compliance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omidyar.com/initiatives/tech-and-society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Simons Foundation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Simons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$100K–1M for mathematics and computational science</w:t>
            </w:r>
          </w:p>
        </w:tc>
        <w:tc>
          <w:tcPr>
            <w:tcW w:type="dxa" w:w="2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Theoretical foundations of MACNN-RLS qualify for computational mathematics grants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simonsfoundation.org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Ford Foundation Technology and Society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Ford Foundation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$250K–1M for equitable technology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equity applications; accessible AI for disability communities (rehabilitation focus)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fordfoundation.org/work/challenging-inequality/technology-and-society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Microsoft Research AI for Good</w:t>
            </w:r>
          </w:p>
        </w:tc>
        <w:tc>
          <w:tcPr>
            <w:tcW w:type="dxa" w:w="1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Microsoft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$50K–$500K + Azure credits ($150K value)</w:t>
            </w:r>
          </w:p>
        </w:tc>
        <w:tc>
          <w:tcPr>
            <w:tcW w:type="dxa" w:w="27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healthcare, accessibility, and social good; strong match for rehabilitation AI</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microsoft.com/en-us/ai/ai-for-good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Google.org AI Impact Challenge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Google.org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Up to $2M + Google Cloud credits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Social impact AI applications; disability and healthcare focus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google.org/our-work/how-we-grant/ai-impact-challenge</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7.3  Venture Philanthropy and Impact Investing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Foundation</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Location</w:t>
            </w:r>
          </w:p>
        </w:tc>
        <w:tc>
          <w:tcPr>
            <w:tcW w:type="dxa" w:w="3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Application Strategy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MacArthur Foundation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 (local!)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$500K–5M for transformative social innovation; AI and technology program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Direct approach: MacArthur is headquartered in Chicago; local connection advantage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macfound.org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 Community Trust</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Community foundation grants; AI for community benefit</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for technology and workforce development grants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cct.org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Pritzker Foundation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Chicago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Local philanthropic investment in technology and education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Deep Chicago tech connections; approach through 1871 network</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pritzker.com</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Baxter International Foundation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Deerfield, IL</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Healthcare technology grants; Illinois company</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for patient monitoring and rehabilitation; proximity advantage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baxter.com/en/our-company/baxter-foundation</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8: AI-Specific and Agentic Systems Funding Programs</w:t>
      </w:r>
    </w:p>
    <w:p>
      <w:pPr>
        <w:pStyle w:val="Heading2"/>
        <w:spacing w:before="280" w:after="140"/>
      </w:pPr>
      <w:r>
        <w:rPr>
          <w:rFonts w:ascii="Arial" w:cs="Arial" w:eastAsia="Arial" w:hAnsi="Arial"/>
          <w:b/>
          <w:bCs/>
          <w:color w:val="1E3A5F"/>
          <w:sz w:val="26"/>
          <w:szCs w:val="26"/>
        </w:rPr>
        <w:t xml:space="preserve">8.1  Federal AI-Specific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National AI Research Resource (NAIRR)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 OSTP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access to compute, data, and tools for AI research; not a grant but removes infrastructure cost barrier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for NAIRR access to eliminate cloud compute costs during R&amp;D phase; significant in-kind value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nairrpilot.org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DOD Joint AI Center (JAIC) SBIR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Department of Defense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AI-specific SBIR solicitations; multi-agent systems, autonomous decision-making</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Monitor JAIC solicitations; Byzantine fault tolerance and adversarial consensus are direct matches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ai.mil/work-with-us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ODNI IC SBIR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Office of Director of National Intelligence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Intelligence community SBIR; multi-agent AI, data fusion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 classification requirement; monitor odni.sbir.gov for open solicitations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odni.sbir.gov</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USPTO AI and Emerging Technology Division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US Patent and Trademark Office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Expedited patent examination for AI inventions; Pro Bono Patent Program</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for expedited AI patent prosecution for OMEGA ROOT kernel; costs covered by USPTO program</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uspto.gov/patent/laws-and-regulations/patent-pro-bono-program</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National Artificial Intelligence Initiative Office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OSTP / NAIIO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Policy participation, working groups, pilot programs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Participate in NAII public engagement; positions OpenClaw as policy-relevant platform</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ai.gov</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8.2  Generative AI and Agentic Systems Grants (Emerging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9C3" w:val="clear"/>
            <w:tcMar>
              <w:top w:type="dxa" w:w="160"/>
              <w:left w:type="dxa" w:w="220"/>
              <w:bottom w:type="dxa" w:w="160"/>
              <w:right w:type="dxa" w:w="220"/>
            </w:tcMar>
          </w:tcPr>
          <w:p>
            <w:pPr>
              <w:spacing w:before="0" w:after="0"/>
            </w:pPr>
            <w:r>
              <w:rPr>
                <w:rFonts w:ascii="Arial" w:cs="Arial" w:eastAsia="Arial" w:hAnsi="Arial"/>
                <w:b w:val="false"/>
                <w:bCs w:val="false"/>
                <w:color w:val="0F172A"/>
                <w:sz w:val="21"/>
                <w:szCs w:val="21"/>
              </w:rPr>
              <w:t xml:space="preserve">The generative AI and autonomous agent funding landscape is moving extremely fast. New programs are being announced quarterly. These are the active programs as of 2025 — check program websites monthly for updates.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800"/>
        <w:gridCol w:w="1960"/>
      </w:tblGrid>
      <w:tr>
        <w:trPr>
          <w:tblHeader/>
        </w:trPr>
        <w:tc>
          <w:tcPr>
            <w:tcW w:type="dxa" w:w="2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Agency</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9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OpenClaw Application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AI Institutes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$20M over 5 years for AI research institutes; join as industry partner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Partner with existing NSF AI Institute (nearest: Midwest AI Institute at U of Michigan)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nsf.gov/cise/ai</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DARPA Explainable AI (XAI) and Follow-on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DARPA</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Contracts and grants for explainable, auditable AI systems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OpenClaw's Black Box Recorder and OMEGA ROOT kernel are direct XAI applications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darpa.mil/program/explainable-artificial-intelligence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DOE AI and Technology Office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DOE AITO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 for AI applied to energy and scientific computing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Neuromorphic computing energy efficiency research; Argonne collaboration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energy.gov/ai</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CDC SBIR (AI for Public Health)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Centers for Disease Control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$300K Phase I for AI health monitoring and epidemiology</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Potential application: multi-agent population health monitoring systems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cdc.gov/od/science/technology/sbir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VA Technology Transfer (AI for Veterans)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Dept. of Veterans Affairs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Contracts and grants for AI serving veteran healthcare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Rehabilitation AI applications from MACNN-RLS v3.0; strong mission alignment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research.va.gov/programs/tech_transfer</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HHS Office of Minority Health AI</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HHS / OMH</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 for AI addressing health disparities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Accessibility-focused rehabilitation AI; multilingual/multicultural metaphor processing</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minorityhealth.hhs.gov</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9: Business Auditing Services Revenue Model</w:t>
      </w:r>
    </w:p>
    <w:p>
      <w:pPr>
        <w:pStyle w:val="Heading2"/>
        <w:spacing w:before="280" w:after="140"/>
      </w:pPr>
      <w:r>
        <w:rPr>
          <w:rFonts w:ascii="Arial" w:cs="Arial" w:eastAsia="Arial" w:hAnsi="Arial"/>
          <w:b/>
          <w:bCs/>
          <w:color w:val="1E3A5F"/>
          <w:sz w:val="26"/>
          <w:szCs w:val="26"/>
        </w:rPr>
        <w:t xml:space="preserve">9.1  AI Auditing as a Revenue Stream and Grant Qualifier</w:t>
      </w:r>
    </w:p>
    <w:p>
      <w:pPr>
        <w:spacing w:before="80" w:after="120"/>
        <w:jc w:val="both"/>
      </w:pPr>
      <w:r>
        <w:rPr>
          <w:rFonts w:ascii="Arial" w:cs="Arial" w:eastAsia="Arial" w:hAnsi="Arial"/>
          <w:b w:val="false"/>
          <w:bCs w:val="false"/>
          <w:i w:val="false"/>
          <w:iCs w:val="false"/>
          <w:color w:val="0F172A"/>
          <w:sz w:val="22"/>
          <w:szCs w:val="22"/>
        </w:rPr>
        <w:t xml:space="preserve">Business auditing services — specifically AI system auditing — represent one of the highest-margin, lowest-overhead services you can offer right now. The market need is acute: as AI systems proliferate in regulated industries, companies face increasing pressure to demonstrate that their AI is auditable, explainable, and compliant. Your OMEGA ROOT kernel and Byzantine fault tolerance architecture are the technical foundations of a credible AI auditing practice.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1"/>
              <w:left w:val="single" w:color="312E81" w:sz="1"/>
              <w:bottom w:val="single" w:color="312E81" w:sz="1"/>
              <w:right w:val="single" w:color="312E81" w:sz="1"/>
            </w:tcBorders>
            <w:shd w:fill="E0E7FF" w:val="clear"/>
            <w:tcMar>
              <w:top w:type="dxa" w:w="160"/>
              <w:left w:type="dxa" w:w="220"/>
              <w:bottom w:type="dxa" w:w="160"/>
              <w:right w:type="dxa" w:w="220"/>
            </w:tcMar>
          </w:tcPr>
          <w:p>
            <w:pPr>
              <w:spacing w:before="0" w:after="0"/>
            </w:pPr>
            <w:r>
              <w:rPr>
                <w:rFonts w:ascii="Arial" w:cs="Arial" w:eastAsia="Arial" w:hAnsi="Arial"/>
                <w:b w:val="false"/>
                <w:bCs w:val="false"/>
                <w:color w:val="312E81"/>
                <w:sz w:val="21"/>
                <w:szCs w:val="21"/>
              </w:rPr>
              <w:t xml:space="preserve">Regulatory backdrop: The EU AI Act (effective 2024–2026) classifies multi-agent financial AI as 'high-risk' requiring mandatory auditing. SEC guidance on AI in financial advice requires explainability. HIPAA AI guidance for healthcare AI is emerging. Every regulation creates demand for your auditing service.</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9.2  AI Audit Service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2800"/>
        <w:gridCol w:w="13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Service</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Duration</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Price</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Deliverable</w:t>
            </w:r>
          </w:p>
        </w:tc>
        <w:tc>
          <w:tcPr>
            <w:tcW w:type="dxa" w:w="13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Target 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Level 1: AI Governance Assessment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1–2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$3,500–6,000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Review existing AI systems against governance checklist; OMEGA ROOT compliance scoring; executive report with remediation roadmap</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Financial advisors, hedge funds, insurance companies with existing AI tools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Level 2: Multi-Agent Audit</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 week</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$8,000–15,000</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Full audit of multi-agent system: Byzantine fault tolerance testing, wolfpack detection validation, hallucination rate measurement, audit trail completeness</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Trading firms, automated advisory platforms, insurance claims processing AI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Level 3: Regulatory Compliance Audit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 weeks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$15,000–25,000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SEC/FINRA AI compliance audit; EU AI Act high-risk system classification; SOX AI controls; GDPR automated decision-making compliance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Registered investment advisors, broker-dealers, European-facing US companies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Level 4: Ongoing Audit Retainer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Monthly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$3,000–6,000/month</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Monthly AI system monitoring, quarterly compliance reports, incident response for AI failures</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Enterprise clients post-pilot; recurring revenue engine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Due Diligence for M&amp;A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Variable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$25,000–75,000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Technical due diligence on acquisition target's AI systems; valuation support for AI-heavy assets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PE firms, corporate acquirers, legal counsel for AI M&amp;A</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Expert Witness and Regulatory Support</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Hourly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$350–$600/hour</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Expert testimony on AI system behavior, regulatory investigations, litigation support</w:t>
            </w:r>
          </w:p>
        </w:tc>
        <w:tc>
          <w:tcPr>
            <w:tcW w:type="dxa" w:w="13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Law firms, regulatory bodies, insurance carriers</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9.3  Compliance Revenue as Grant Leverage</w:t>
      </w:r>
    </w:p>
    <w:p>
      <w:pPr>
        <w:spacing w:before="80" w:after="120"/>
        <w:jc w:val="both"/>
      </w:pPr>
      <w:r>
        <w:rPr>
          <w:rFonts w:ascii="Arial" w:cs="Arial" w:eastAsia="Arial" w:hAnsi="Arial"/>
          <w:b w:val="false"/>
          <w:bCs w:val="false"/>
          <w:i w:val="false"/>
          <w:iCs w:val="false"/>
          <w:color w:val="0F172A"/>
          <w:sz w:val="22"/>
          <w:szCs w:val="22"/>
        </w:rPr>
        <w:t xml:space="preserve">Auditing revenue serves a second function beyond cash flow: it positions you for grant programs that specifically fund AI safety, accountability, and compliance research. Every audit engagement generates real-world data on AI system failure modes, compliance gaps, and governance best practices — this is primary research that strengthens your NSF SBIR and DARPA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Service</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Market Driver</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Revenue</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Strategic 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NIST AI Risk Management Framework Consulting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NIST AI RMF launched 2023; companies need expert implementation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$5K–$20K per engagement; certification-adjacent service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NIST is the federal standards body; NIST relationship supports SBIR applications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ISO/IEC 42001 AI Management System Certification Preparation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New ISO standard for AI management systems (2023)</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$10K–$30K preparation engagement; recurring maintenance retainer</w:t>
            </w:r>
          </w:p>
        </w:tc>
        <w:tc>
          <w:tcPr>
            <w:tcW w:type="dxa" w:w="2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ISO 42001 certification will be required for European market access; early mover advantage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Model Cards and AI Transparency Reports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Investor and regulator demand for AI transparency documentation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$5K–$15K per documentation engagement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Builds documented evidence base for grant applications showing real-world impact</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10: All-Inclusive Business Solutions Offering</w:t>
      </w:r>
    </w:p>
    <w:p>
      <w:pPr>
        <w:pStyle w:val="Heading2"/>
        <w:spacing w:before="280" w:after="140"/>
      </w:pPr>
      <w:r>
        <w:rPr>
          <w:rFonts w:ascii="Arial" w:cs="Arial" w:eastAsia="Arial" w:hAnsi="Arial"/>
          <w:b/>
          <w:bCs/>
          <w:color w:val="1E3A5F"/>
          <w:sz w:val="26"/>
          <w:szCs w:val="26"/>
        </w:rPr>
        <w:t xml:space="preserve">10.1  The Complete Service Stack</w:t>
      </w:r>
    </w:p>
    <w:p>
      <w:pPr>
        <w:spacing w:before="80" w:after="120"/>
        <w:jc w:val="both"/>
      </w:pPr>
      <w:r>
        <w:rPr>
          <w:rFonts w:ascii="Arial" w:cs="Arial" w:eastAsia="Arial" w:hAnsi="Arial"/>
          <w:b w:val="false"/>
          <w:bCs w:val="false"/>
          <w:i w:val="false"/>
          <w:iCs w:val="false"/>
          <w:color w:val="0F172A"/>
          <w:sz w:val="22"/>
          <w:szCs w:val="22"/>
        </w:rPr>
        <w:t xml:space="preserve">OpenClaw's value proposition expands from a single-product (the agent platform) to an all-inclusive AI solutions provider. This expansion increases average contract value, improves retention, and qualifies for broader grant programs including economic development and workforce training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Tier</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Services</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Price Range</w:t>
            </w:r>
          </w:p>
        </w:tc>
        <w:tc>
          <w:tcPr>
            <w:tcW w:type="dxa" w:w="3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Target Segment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Tier 1: Strategy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Readiness Assessment, Technology Roadmap, Agent Architecture Design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$3,500–15,000 per project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Any company considering AI adoption; entry service for enterprise sales funnel</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Tier 2: Implementation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Custom Multi-Agent System Deployment, OpenClaw Enterprise Manager Setup, Integration with existing systems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$15,000–75,000 per project</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Mid-market companies with defined AI use cases; post-assessment clients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Tier 3: Audit &amp; Compliance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System Audit, Regulatory Compliance Review, NIST AI RMF Implementation, ISO 42001 Preparation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$8,000–30,000 per project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Regulated industries: finance, healthcare, insurance, government contractors</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Tier 4: Training &amp; Education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Executive AI Literacy Workshop, Technical Multi-Agent Development Training, AI Governance Certification Program</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$1,500–10,000 per session</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C-suite executives, development teams, compliance officers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Tier 5: Managed Services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Ongoing AI System Monitoring, Monthly Audit Retainer, Evolution Engine RL Optimization, Agent Performance Optimization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$3,000–10,000/month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Enterprise clients post-deployment; highest LTV customer segment</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Tier 6: Platform (OpenClaw SaaS)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Enterprise Manager licensing, ClawHub SKILL marketplace, API access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$2,500–10,000/swarm/month</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Technology companies, AI-native startups, enterprise IT departments</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10.2  Workforce Development Grants for Training Services</w:t>
      </w:r>
    </w:p>
    <w:p>
      <w:pPr>
        <w:spacing w:before="80" w:after="120"/>
        <w:jc w:val="both"/>
      </w:pPr>
      <w:r>
        <w:rPr>
          <w:rFonts w:ascii="Arial" w:cs="Arial" w:eastAsia="Arial" w:hAnsi="Arial"/>
          <w:b w:val="false"/>
          <w:bCs w:val="false"/>
          <w:i w:val="false"/>
          <w:iCs w:val="false"/>
          <w:color w:val="0F172A"/>
          <w:sz w:val="22"/>
          <w:szCs w:val="22"/>
        </w:rPr>
        <w:t xml:space="preserve">Training and education services unlock a separate category of workforce development grants that product and consulting work does not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9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Program</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Source</w:t>
            </w:r>
          </w:p>
        </w:tc>
        <w:tc>
          <w:tcPr>
            <w:tcW w:type="dxa" w:w="3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9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Workforce Innovation and Opportunity Act (WIOA)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DES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Training subsidies for employees and job seekers; up to 100% of training costs covered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Partner with local workforce center to deliver AI training; receive payment per trainee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 DCEO Employer Training Investment Program (ETIP)</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DCEO</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Grants up to $500K for employer-provided training programs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Create a certified OpenClaw AI Developer training program; receive ETIP grant per cohort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Boots to Business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 IVMF</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Entrepreneurship training for veterans; instructor opportunities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Deliver AI entrepreneurship curriculum to veteran entrepreneurs; SBA pays instructor fee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US Department of Labor ApprenticeConnect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DOL</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AI and tech apprenticeship program development grants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Create a registered AI apprenticeship program; significant DOL grant support available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Google Career Certificates Program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Google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 sharing for authorized training providers in tech fields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to become authorized provider; Google pays per certificate completion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AWS Training Partner</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Amazon</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 for delivering AWS AI/ML training; free training resources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Become AWS Training Partner; deliver cloud AI training with AWS paying instructor costs</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11: Master Funding Calendar and Action Sequence</w:t>
      </w:r>
    </w:p>
    <w:p>
      <w:pPr>
        <w:pStyle w:val="Heading2"/>
        <w:spacing w:before="280" w:after="140"/>
      </w:pPr>
      <w:r>
        <w:rPr>
          <w:rFonts w:ascii="Arial" w:cs="Arial" w:eastAsia="Arial" w:hAnsi="Arial"/>
          <w:b/>
          <w:bCs/>
          <w:color w:val="1E3A5F"/>
          <w:sz w:val="26"/>
          <w:szCs w:val="26"/>
        </w:rPr>
        <w:t xml:space="preserve">11.1  90-Day Priority Actions (Ranked by Impact per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000"/>
        <w:gridCol w:w="3200"/>
        <w:gridCol w:w="1160"/>
      </w:tblGrid>
      <w:tr>
        <w:trPr>
          <w:tblHeader/>
        </w:trPr>
        <w:tc>
          <w:tcPr>
            <w:tcW w:type="dxa" w:w="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Priority</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Value</w:t>
            </w:r>
          </w:p>
        </w:tc>
        <w:tc>
          <w:tcPr>
            <w:tcW w:type="dxa" w:w="1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 Required</w:t>
            </w:r>
          </w:p>
        </w:tc>
        <w:tc>
          <w:tcPr>
            <w:tcW w:type="dxa" w:w="3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Why It Matters</w:t>
            </w:r>
          </w:p>
        </w:tc>
        <w:tc>
          <w:tcPr>
            <w:tcW w:type="dxa" w:w="1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When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SAM.gov</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 hours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Unlocks ALL federal grants and contracts; prerequisite for everything</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This week</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Illinois SBDC appointment</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30 min</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expert grant preparation guidance; accelerates all state applications</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This week</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for NSF I-Corps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($50K stipend)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 hours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Customer discovery funding + pathway to SBIR; improves SBIR acceptance rate significantly</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 deadline</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4</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Contact Argonne Chain Reaction Innovations</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($250K resources)</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 hours</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 miles away; $250K in lab resources; zero equity; apply for next cohort</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Annual; apply 6 months early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File USPTO Provisional Patent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4 hours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Protects OMEGA ROOT kernel IP; required for strongest SBIR application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This month</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6</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for NAIRR Compute Access</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(compute credits)</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 hours</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Eliminates AI infrastructure costs during R&amp;D; significant in-kind value</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Rolling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Register all NAICS codes in SAM.gov</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 hour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Expands federal grant eligibility immediately</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This week, after SAM.gov registration</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8</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Submit NSF SBIR Phase I</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$275K</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40 hours</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Highest-value single application; use Hydra benchmarks as evidence</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Next available deadline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Apply for Illinois Innovation Voucher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 hours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Funds university R&amp;D partnership; use for MACNN-RLS neuromorphic research</w:t>
            </w:r>
          </w:p>
        </w:tc>
        <w:tc>
          <w:tcPr>
            <w:tcW w:type="dxa" w:w="1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Biannual</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Contact Cook County BED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Variable</w:t>
            </w:r>
          </w:p>
        </w:tc>
        <w:tc>
          <w:tcPr>
            <w:tcW w:type="dxa" w:w="1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 hour</w:t>
            </w:r>
          </w:p>
        </w:tc>
        <w:tc>
          <w:tcPr>
            <w:tcW w:type="dxa" w:w="3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Local grants and loan programs; often uncrowded relative to federal programs</w:t>
            </w:r>
          </w:p>
        </w:tc>
        <w:tc>
          <w:tcPr>
            <w:tcW w:type="dxa" w:w="1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Immediate</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11.2  12-Month Funding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Timeline</w:t>
            </w:r>
          </w:p>
        </w:tc>
        <w:tc>
          <w:tcPr>
            <w:tcW w:type="dxa" w:w="3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Actions</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Target Capital</w:t>
            </w:r>
          </w:p>
        </w:tc>
        <w:tc>
          <w:tcPr>
            <w:tcW w:type="dxa" w:w="15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Complexity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1–3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Consulting revenue; NSF I-Corps; SBDC engagement; SAM.gov registration; provisional patent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$5K–25K consulting; $50K I-Corps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Low; registration only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3–6</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SBIR Phase I application submitted; first enterprise pilot contract; Illinois Innovation Voucher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$15K–25K pilot; $50K voucher</w:t>
            </w:r>
          </w:p>
        </w:tc>
        <w:tc>
          <w:tcPr>
            <w:tcW w:type="dxa" w:w="1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Medium; requires Hydra demo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4–8</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Microloan; Argonne CRI application; Mozilla Foundation grant; DOE SBIR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$50K SBA; $250K Argonne (in-kind)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Medium; requires 3 months revenue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6–9</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OpenClaw Core open-source launch; Reg CF crowdfunding campaign ($250K–$500K); ClawHub beta</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$250K–$500K crowdfunding</w:t>
            </w:r>
          </w:p>
        </w:tc>
        <w:tc>
          <w:tcPr>
            <w:tcW w:type="dxa" w:w="1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 requires product and community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7–12</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SBIR Phase I award (if accepted: $275K); Phase II application begins; MacArthur Foundation approach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$275K NSF + $30K–60K annual SaaS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High; requires Phase I acceptance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9–18</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DOD SBIR; DARPA SBIR (preparation); GSA Schedule application; Series A fundraise preparation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$500K–1M+ Series A</w:t>
            </w:r>
          </w:p>
        </w:tc>
        <w:tc>
          <w:tcPr>
            <w:tcW w:type="dxa" w:w="1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Very high; requires 2 pilots + revenue</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11.3  Cumulative Non-Dilutive Capital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560"/>
      </w:tblGrid>
      <w:tr>
        <w:trPr>
          <w:tblHeader/>
        </w:trPr>
        <w:tc>
          <w:tcPr>
            <w:tcW w:type="dxa" w:w="30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Source</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Target Amount</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Prerequisite</w:t>
            </w:r>
          </w:p>
        </w:tc>
        <w:tc>
          <w:tcPr>
            <w:tcW w:type="dxa" w:w="25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Type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Consulting Services (Year 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$50,000–$120,000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Immediate; no prerequisites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Enterprise Pilot Contracts (Year 1)</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$45,000–$150,000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Hydra demo required</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Revenue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I-Corps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SAM.gov required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NSF SBIR Phase I</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$275,000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I-Corps + benchmark data</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Illinois Innovation Voucher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LLC + operating history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Argonne CRI (in-kind)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$250,000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Working prototype required</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In-kind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SBA Microloan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$25,000–50,000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 months operating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Loan</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Reg CF Crowdfunding</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$250,000–$500,000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Product + community</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Equity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Cook County / Local Grants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$25,000–$75,000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Local registration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Foundation Grants (Mozilla, McGovern, etc.)</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$50,000–$200,000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Published research + social impact</w:t>
            </w:r>
          </w:p>
        </w:tc>
        <w:tc>
          <w:tcPr>
            <w:tcW w:type="dxa" w:w="2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DARPA / DOE SBIR (Year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$500,000–1,500,000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Phase I + 2 patents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Grant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4E3B" w:sz="1"/>
              <w:left w:val="single" w:color="064E3B" w:sz="1"/>
              <w:bottom w:val="single" w:color="064E3B" w:sz="1"/>
              <w:right w:val="single" w:color="064E3B" w:sz="1"/>
            </w:tcBorders>
            <w:shd w:fill="D1FAE5" w:val="clear"/>
            <w:tcMar>
              <w:top w:type="dxa" w:w="140"/>
              <w:left w:type="dxa" w:w="220"/>
              <w:bottom w:type="dxa" w:w="140"/>
              <w:right w:type="dxa" w:w="220"/>
            </w:tcMar>
          </w:tcPr>
          <w:p>
            <w:pPr>
              <w:spacing w:before="0" w:after="40"/>
            </w:pPr>
            <w:r>
              <w:rPr>
                <w:rFonts w:ascii="Arial" w:cs="Arial" w:eastAsia="Arial" w:hAnsi="Arial"/>
                <w:b/>
                <w:bCs/>
                <w:color w:val="064E3B"/>
                <w:sz w:val="22"/>
                <w:szCs w:val="22"/>
              </w:rPr>
              <w:t xml:space="preserve">Year 1 Non-Dilutive Capital Target: $770,000–1,370,000</w:t>
            </w:r>
          </w:p>
          <w:p>
            <w:pPr>
              <w:spacing w:before="0" w:after="0"/>
            </w:pPr>
            <w:r>
              <w:rPr>
                <w:rFonts w:ascii="Arial" w:cs="Arial" w:eastAsia="Arial" w:hAnsi="Arial"/>
                <w:color w:val="0F172A"/>
                <w:sz w:val="21"/>
                <w:szCs w:val="21"/>
              </w:rPr>
              <w:t xml:space="preserve">This range represents the realistic total of consulting revenue, grants, loans, and crowdfunding achievable in Year 1 from a $0 starting point. The high end requires NSF SBIR acceptance, Argonne CRI selection, and a successful Reg CF campaign. The low end ($770K) requires only consulting revenue, NSF I-Corps, Illinois grants, and SBA microloan — all highly achievable. This does not include Year 2 programs (DARPA, DOE) which can add $500K–1.5M.</w:t>
            </w:r>
          </w:p>
        </w:tc>
      </w:tr>
    </w:tbl>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SECTION 12: IP Protection and Research Documentation Strategy</w:t>
      </w:r>
    </w:p>
    <w:p>
      <w:pPr>
        <w:pStyle w:val="Heading2"/>
        <w:spacing w:before="280" w:after="140"/>
      </w:pPr>
      <w:r>
        <w:rPr>
          <w:rFonts w:ascii="Arial" w:cs="Arial" w:eastAsia="Arial" w:hAnsi="Arial"/>
          <w:b/>
          <w:bCs/>
          <w:color w:val="1E3A5F"/>
          <w:sz w:val="26"/>
          <w:szCs w:val="26"/>
        </w:rPr>
        <w:t xml:space="preserve">12.1  Intellectual Property Protection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316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Timing</w:t>
            </w:r>
          </w:p>
        </w:tc>
        <w:tc>
          <w:tcPr>
            <w:tcW w:type="dxa" w:w="3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c>
          <w:tcPr>
            <w:tcW w:type="dxa" w:w="3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Strategic Purpose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Provisional Patent Application: OMEGA ROOT Governance Kernel + Byzantine Fault-Tolerant Multi-Agent Architecture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$320 micro-entity fee at USPTO</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Establishes priority date; strengthens SBIR IP section; 12 months to file full utility patent</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3</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arXiv Preprint: MACNN-RLS v3.0 Architecture Paper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Academic credibility; NSF intellectual merit evidence; prevents third-party patent on published ideas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6</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Full Utility Patent Application: OpenClaw Swarm Orchestration System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~$1,600 micro-entity (claims + filing)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Full patent protection; 20-year exclusivity; enterprise client assurance</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Month 9</w:t>
            </w:r>
          </w:p>
        </w:tc>
        <w:tc>
          <w:tcPr>
            <w:tcW w:type="dxa" w:w="3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Trademark: OpenClaw, MACNN-RLS, Hydra Sentinel-X</w:t>
            </w:r>
          </w:p>
        </w:tc>
        <w:tc>
          <w:tcPr>
            <w:tcW w:type="dxa" w:w="1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$250–$350 per mark online</w:t>
            </w:r>
          </w:p>
        </w:tc>
        <w:tc>
          <w:tcPr>
            <w:tcW w:type="dxa" w:w="31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Brand protection; enterprise sales credibility; investor expectation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Year 2</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Trade Secret Documentation: Evolution Engine RL parameters, Compliance Matrix weights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Free (internal documentation)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before="0" w:after="0"/>
            </w:pPr>
            <w:r>
              <w:rPr>
                <w:rFonts w:ascii="Arial" w:cs="Arial" w:eastAsia="Arial" w:hAnsi="Arial"/>
                <w:color w:val="0F172A"/>
                <w:sz w:val="20"/>
                <w:szCs w:val="20"/>
              </w:rPr>
              <w:t xml:space="preserve">Protects operational details not suitable for patent; documented in IP audit trail</w:t>
            </w:r>
          </w:p>
        </w:tc>
      </w:tr>
    </w:tbl>
    <w:p>
      <w:pPr>
        <w:spacing w:before="0" w:after="0"/>
      </w:pPr>
      <w:r>
        <w:t xml:space="preserve"/>
      </w:r>
    </w:p>
    <w:p>
      <w:pPr>
        <w:pStyle w:val="Heading2"/>
        <w:spacing w:before="280" w:after="140"/>
      </w:pPr>
      <w:r>
        <w:rPr>
          <w:rFonts w:ascii="Arial" w:cs="Arial" w:eastAsia="Arial" w:hAnsi="Arial"/>
          <w:b/>
          <w:bCs/>
          <w:color w:val="1E3A5F"/>
          <w:sz w:val="26"/>
          <w:szCs w:val="26"/>
        </w:rPr>
        <w:t xml:space="preserve">12.2  Research Documentation as Grant Currency</w:t>
      </w:r>
    </w:p>
    <w:p>
      <w:pPr>
        <w:spacing w:before="80" w:after="120"/>
        <w:jc w:val="both"/>
      </w:pPr>
      <w:r>
        <w:rPr>
          <w:rFonts w:ascii="Arial" w:cs="Arial" w:eastAsia="Arial" w:hAnsi="Arial"/>
          <w:b w:val="false"/>
          <w:bCs w:val="false"/>
          <w:i w:val="false"/>
          <w:iCs w:val="false"/>
          <w:color w:val="0F172A"/>
          <w:sz w:val="22"/>
          <w:szCs w:val="22"/>
        </w:rPr>
        <w:t xml:space="preserve">Every federal grant reviewer, foundation program officer, and serious investor will search for your published work before responding to an application. The MACNN-RLS research documentation you have already produced is your most underutilized asset. Here is how to deploy it:</w:t>
      </w:r>
    </w:p>
    <w:p>
      <w:pPr>
        <w:pStyle w:val="ListParagraph"/>
        <w:numPr>
          <w:ilvl w:val="0"/>
          <w:numId w:val="2"/>
        </w:numPr>
        <w:spacing w:before="60" w:after="60"/>
      </w:pPr>
      <w:r>
        <w:rPr>
          <w:rFonts w:ascii="Arial" w:cs="Arial" w:eastAsia="Arial" w:hAnsi="Arial"/>
          <w:color w:val="0F172A"/>
          <w:sz w:val="22"/>
          <w:szCs w:val="22"/>
        </w:rPr>
        <w:t xml:space="preserve">Submit MACNN-RLS v3.0 as an arXiv preprint in the cs.AI and cs.NE categories. Free. Creates a citable academic record.</w:t>
      </w:r>
    </w:p>
    <w:p>
      <w:pPr>
        <w:pStyle w:val="ListParagraph"/>
        <w:numPr>
          <w:ilvl w:val="0"/>
          <w:numId w:val="2"/>
        </w:numPr>
        <w:spacing w:before="60" w:after="60"/>
      </w:pPr>
      <w:r>
        <w:rPr>
          <w:rFonts w:ascii="Arial" w:cs="Arial" w:eastAsia="Arial" w:hAnsi="Arial"/>
          <w:color w:val="0F172A"/>
          <w:sz w:val="22"/>
          <w:szCs w:val="22"/>
        </w:rPr>
        <w:t xml:space="preserve">Submit an abstract to NeurIPS, ICML, or ICLR workshop on multi-agent systems. Even a workshop paper acceptance is a meaningful credibility signal.</w:t>
      </w:r>
    </w:p>
    <w:p>
      <w:pPr>
        <w:pStyle w:val="ListParagraph"/>
        <w:numPr>
          <w:ilvl w:val="0"/>
          <w:numId w:val="2"/>
        </w:numPr>
        <w:spacing w:before="60" w:after="60"/>
      </w:pPr>
      <w:r>
        <w:rPr>
          <w:rFonts w:ascii="Arial" w:cs="Arial" w:eastAsia="Arial" w:hAnsi="Arial"/>
          <w:color w:val="0F172A"/>
          <w:sz w:val="22"/>
          <w:szCs w:val="22"/>
        </w:rPr>
        <w:t xml:space="preserve">Write a blog post series on the Towards Data Science or Towards AI Medium publications. Each post drives GitHub stars and consulting inbound.</w:t>
      </w:r>
    </w:p>
    <w:p>
      <w:pPr>
        <w:pStyle w:val="ListParagraph"/>
        <w:numPr>
          <w:ilvl w:val="0"/>
          <w:numId w:val="2"/>
        </w:numPr>
        <w:spacing w:before="60" w:after="60"/>
      </w:pPr>
      <w:r>
        <w:rPr>
          <w:rFonts w:ascii="Arial" w:cs="Arial" w:eastAsia="Arial" w:hAnsi="Arial"/>
          <w:color w:val="0F172A"/>
          <w:sz w:val="22"/>
          <w:szCs w:val="22"/>
        </w:rPr>
        <w:t xml:space="preserve">Create a YouTube technical walkthrough series: 'Building a Brain-Inspired AI Architecture.' 10-minute episodes. Each episode becomes a LinkedIn post, a tweet thread, and a newsletter issue.</w:t>
      </w:r>
    </w:p>
    <w:p>
      <w:pPr>
        <w:pStyle w:val="ListParagraph"/>
        <w:numPr>
          <w:ilvl w:val="0"/>
          <w:numId w:val="2"/>
        </w:numPr>
        <w:spacing w:before="60" w:after="60"/>
      </w:pPr>
      <w:r>
        <w:rPr>
          <w:rFonts w:ascii="Arial" w:cs="Arial" w:eastAsia="Arial" w:hAnsi="Arial"/>
          <w:color w:val="0F172A"/>
          <w:sz w:val="22"/>
          <w:szCs w:val="22"/>
        </w:rPr>
        <w:t xml:space="preserve">Apply to speak at Chicago Machine Learning meetup, AI4Finance conference, and QuantCon. Speaking fees + visibility + consulting pipeline.</w:t>
      </w:r>
    </w:p>
    <w:p>
      <w:pPr>
        <w:spacing w:before="0" w:after="0"/>
      </w:pPr>
      <w:r>
        <w:t xml:space="preserve"/>
      </w:r>
    </w:p>
    <w:p>
      <w:pPr>
        <w:pBdr>
          <w:bottom w:val="single" w:color="1D4ED8" w:sz="4" w:space="2"/>
        </w:pBdr>
        <w:spacing w:before="140" w:after="140"/>
      </w:pPr>
      <w:r>
        <w:t xml:space="preserve"/>
      </w:r>
    </w:p>
    <w:p>
      <w:pPr>
        <w:pStyle w:val="Heading1"/>
        <w:pBdr>
          <w:bottom w:val="single" w:color="1D4ED8" w:sz="8" w:space="2"/>
        </w:pBdr>
        <w:spacing w:before="360" w:after="180"/>
      </w:pPr>
      <w:r>
        <w:rPr>
          <w:rFonts w:ascii="Arial" w:cs="Arial" w:eastAsia="Arial" w:hAnsi="Arial"/>
          <w:b/>
          <w:bCs/>
          <w:color w:val="0F172A"/>
          <w:sz w:val="34"/>
          <w:szCs w:val="34"/>
        </w:rPr>
        <w:t xml:space="preserve">APPENDIX: Complete Resource Directory</w:t>
      </w:r>
    </w:p>
    <w:p>
      <w:pPr>
        <w:pStyle w:val="Heading2"/>
        <w:spacing w:before="280" w:after="140"/>
      </w:pPr>
      <w:r>
        <w:rPr>
          <w:rFonts w:ascii="Arial" w:cs="Arial" w:eastAsia="Arial" w:hAnsi="Arial"/>
          <w:b/>
          <w:bCs/>
          <w:color w:val="1E3A5F"/>
          <w:sz w:val="26"/>
          <w:szCs w:val="26"/>
        </w:rPr>
        <w:t xml:space="preserve">Federal Portals</w:t>
      </w:r>
    </w:p>
    <w:p>
      <w:pPr>
        <w:pStyle w:val="ListParagraph"/>
        <w:numPr>
          <w:ilvl w:val="0"/>
          <w:numId w:val="2"/>
        </w:numPr>
        <w:spacing w:before="60" w:after="60"/>
      </w:pPr>
      <w:r>
        <w:rPr>
          <w:rFonts w:ascii="Arial" w:cs="Arial" w:eastAsia="Arial" w:hAnsi="Arial"/>
          <w:color w:val="0F172A"/>
          <w:sz w:val="22"/>
          <w:szCs w:val="22"/>
        </w:rPr>
        <w:t xml:space="preserve">SAM.gov — sam.gov (mandatory first registration)</w:t>
      </w:r>
    </w:p>
    <w:p>
      <w:pPr>
        <w:pStyle w:val="ListParagraph"/>
        <w:numPr>
          <w:ilvl w:val="0"/>
          <w:numId w:val="2"/>
        </w:numPr>
        <w:spacing w:before="60" w:after="60"/>
      </w:pPr>
      <w:r>
        <w:rPr>
          <w:rFonts w:ascii="Arial" w:cs="Arial" w:eastAsia="Arial" w:hAnsi="Arial"/>
          <w:color w:val="0F172A"/>
          <w:sz w:val="22"/>
          <w:szCs w:val="22"/>
        </w:rPr>
        <w:t xml:space="preserve">Grants.gov — grants.gov (all federal grant listings)</w:t>
      </w:r>
    </w:p>
    <w:p>
      <w:pPr>
        <w:pStyle w:val="ListParagraph"/>
        <w:numPr>
          <w:ilvl w:val="0"/>
          <w:numId w:val="2"/>
        </w:numPr>
        <w:spacing w:before="60" w:after="60"/>
      </w:pPr>
      <w:r>
        <w:rPr>
          <w:rFonts w:ascii="Arial" w:cs="Arial" w:eastAsia="Arial" w:hAnsi="Arial"/>
          <w:color w:val="0F172A"/>
          <w:sz w:val="22"/>
          <w:szCs w:val="22"/>
        </w:rPr>
        <w:t xml:space="preserve">NSF SBIR — seedfund.nsf.gov</w:t>
      </w:r>
    </w:p>
    <w:p>
      <w:pPr>
        <w:pStyle w:val="ListParagraph"/>
        <w:numPr>
          <w:ilvl w:val="0"/>
          <w:numId w:val="2"/>
        </w:numPr>
        <w:spacing w:before="60" w:after="60"/>
      </w:pPr>
      <w:r>
        <w:rPr>
          <w:rFonts w:ascii="Arial" w:cs="Arial" w:eastAsia="Arial" w:hAnsi="Arial"/>
          <w:color w:val="0F172A"/>
          <w:sz w:val="22"/>
          <w:szCs w:val="22"/>
        </w:rPr>
        <w:t xml:space="preserve">SBA SBIR Portal — sbir.gov</w:t>
      </w:r>
    </w:p>
    <w:p>
      <w:pPr>
        <w:pStyle w:val="ListParagraph"/>
        <w:numPr>
          <w:ilvl w:val="0"/>
          <w:numId w:val="2"/>
        </w:numPr>
        <w:spacing w:before="60" w:after="60"/>
      </w:pPr>
      <w:r>
        <w:rPr>
          <w:rFonts w:ascii="Arial" w:cs="Arial" w:eastAsia="Arial" w:hAnsi="Arial"/>
          <w:color w:val="0F172A"/>
          <w:sz w:val="22"/>
          <w:szCs w:val="22"/>
        </w:rPr>
        <w:t xml:space="preserve">DOE SBIR — science.osti.gov/sbir</w:t>
      </w:r>
    </w:p>
    <w:p>
      <w:pPr>
        <w:pStyle w:val="ListParagraph"/>
        <w:numPr>
          <w:ilvl w:val="0"/>
          <w:numId w:val="2"/>
        </w:numPr>
        <w:spacing w:before="60" w:after="60"/>
      </w:pPr>
      <w:r>
        <w:rPr>
          <w:rFonts w:ascii="Arial" w:cs="Arial" w:eastAsia="Arial" w:hAnsi="Arial"/>
          <w:color w:val="0F172A"/>
          <w:sz w:val="22"/>
          <w:szCs w:val="22"/>
        </w:rPr>
        <w:t xml:space="preserve">DARPA — darpa.mil/work-with-us/for-small-businesses</w:t>
      </w:r>
    </w:p>
    <w:p>
      <w:pPr>
        <w:pStyle w:val="ListParagraph"/>
        <w:numPr>
          <w:ilvl w:val="0"/>
          <w:numId w:val="2"/>
        </w:numPr>
        <w:spacing w:before="60" w:after="60"/>
      </w:pPr>
      <w:r>
        <w:rPr>
          <w:rFonts w:ascii="Arial" w:cs="Arial" w:eastAsia="Arial" w:hAnsi="Arial"/>
          <w:color w:val="0F172A"/>
          <w:sz w:val="22"/>
          <w:szCs w:val="22"/>
        </w:rPr>
        <w:t xml:space="preserve">NAIRR Pilot — nairrpilot.org</w:t>
      </w:r>
    </w:p>
    <w:p>
      <w:pPr>
        <w:pStyle w:val="ListParagraph"/>
        <w:numPr>
          <w:ilvl w:val="0"/>
          <w:numId w:val="2"/>
        </w:numPr>
        <w:spacing w:before="60" w:after="60"/>
      </w:pPr>
      <w:r>
        <w:rPr>
          <w:rFonts w:ascii="Arial" w:cs="Arial" w:eastAsia="Arial" w:hAnsi="Arial"/>
          <w:color w:val="0F172A"/>
          <w:sz w:val="22"/>
          <w:szCs w:val="22"/>
        </w:rPr>
        <w:t xml:space="preserve">NIST AI RMF — airc.nist.gov</w:t>
      </w:r>
    </w:p>
    <w:p>
      <w:pPr>
        <w:spacing w:before="0" w:after="0"/>
      </w:pPr>
      <w:r>
        <w:t xml:space="preserve"/>
      </w:r>
    </w:p>
    <w:p>
      <w:pPr>
        <w:pStyle w:val="Heading2"/>
        <w:spacing w:before="280" w:after="140"/>
      </w:pPr>
      <w:r>
        <w:rPr>
          <w:rFonts w:ascii="Arial" w:cs="Arial" w:eastAsia="Arial" w:hAnsi="Arial"/>
          <w:b/>
          <w:bCs/>
          <w:color w:val="1E3A5F"/>
          <w:sz w:val="26"/>
          <w:szCs w:val="26"/>
        </w:rPr>
        <w:t xml:space="preserve">Illinois State Resources</w:t>
      </w:r>
    </w:p>
    <w:p>
      <w:pPr>
        <w:pStyle w:val="ListParagraph"/>
        <w:numPr>
          <w:ilvl w:val="0"/>
          <w:numId w:val="2"/>
        </w:numPr>
        <w:spacing w:before="60" w:after="60"/>
      </w:pPr>
      <w:r>
        <w:rPr>
          <w:rFonts w:ascii="Arial" w:cs="Arial" w:eastAsia="Arial" w:hAnsi="Arial"/>
          <w:color w:val="0F172A"/>
          <w:sz w:val="22"/>
          <w:szCs w:val="22"/>
        </w:rPr>
        <w:t xml:space="preserve">IL DCEO — dceo.illinois.gov</w:t>
      </w:r>
    </w:p>
    <w:p>
      <w:pPr>
        <w:pStyle w:val="ListParagraph"/>
        <w:numPr>
          <w:ilvl w:val="0"/>
          <w:numId w:val="2"/>
        </w:numPr>
        <w:spacing w:before="60" w:after="60"/>
      </w:pPr>
      <w:r>
        <w:rPr>
          <w:rFonts w:ascii="Arial" w:cs="Arial" w:eastAsia="Arial" w:hAnsi="Arial"/>
          <w:color w:val="0F172A"/>
          <w:sz w:val="22"/>
          <w:szCs w:val="22"/>
        </w:rPr>
        <w:t xml:space="preserve">Intersect Illinois — intersectillinois.org</w:t>
      </w:r>
    </w:p>
    <w:p>
      <w:pPr>
        <w:pStyle w:val="ListParagraph"/>
        <w:numPr>
          <w:ilvl w:val="0"/>
          <w:numId w:val="2"/>
        </w:numPr>
        <w:spacing w:before="60" w:after="60"/>
      </w:pPr>
      <w:r>
        <w:rPr>
          <w:rFonts w:ascii="Arial" w:cs="Arial" w:eastAsia="Arial" w:hAnsi="Arial"/>
          <w:color w:val="0F172A"/>
          <w:sz w:val="22"/>
          <w:szCs w:val="22"/>
        </w:rPr>
        <w:t xml:space="preserve">IL SBDC at GSU — (708) 534-4929 / govst.edu/sbdc</w:t>
      </w:r>
    </w:p>
    <w:p>
      <w:pPr>
        <w:pStyle w:val="ListParagraph"/>
        <w:numPr>
          <w:ilvl w:val="0"/>
          <w:numId w:val="2"/>
        </w:numPr>
        <w:spacing w:before="60" w:after="60"/>
      </w:pPr>
      <w:r>
        <w:rPr>
          <w:rFonts w:ascii="Arial" w:cs="Arial" w:eastAsia="Arial" w:hAnsi="Arial"/>
          <w:color w:val="0F172A"/>
          <w:sz w:val="22"/>
          <w:szCs w:val="22"/>
        </w:rPr>
        <w:t xml:space="preserve">Argonne CRI — chainreaction.anl.gov</w:t>
      </w:r>
    </w:p>
    <w:p>
      <w:pPr>
        <w:pStyle w:val="ListParagraph"/>
        <w:numPr>
          <w:ilvl w:val="0"/>
          <w:numId w:val="2"/>
        </w:numPr>
        <w:spacing w:before="60" w:after="60"/>
      </w:pPr>
      <w:r>
        <w:rPr>
          <w:rFonts w:ascii="Arial" w:cs="Arial" w:eastAsia="Arial" w:hAnsi="Arial"/>
          <w:color w:val="0F172A"/>
          <w:sz w:val="22"/>
          <w:szCs w:val="22"/>
        </w:rPr>
        <w:t xml:space="preserve">UI Labs — uilabs.org</w:t>
      </w:r>
    </w:p>
    <w:p>
      <w:pPr>
        <w:pStyle w:val="ListParagraph"/>
        <w:numPr>
          <w:ilvl w:val="0"/>
          <w:numId w:val="2"/>
        </w:numPr>
        <w:spacing w:before="60" w:after="60"/>
      </w:pPr>
      <w:r>
        <w:rPr>
          <w:rFonts w:ascii="Arial" w:cs="Arial" w:eastAsia="Arial" w:hAnsi="Arial"/>
          <w:color w:val="0F172A"/>
          <w:sz w:val="22"/>
          <w:szCs w:val="22"/>
        </w:rPr>
        <w:t xml:space="preserve">1871 Chicago — 1871.com</w:t>
      </w:r>
    </w:p>
    <w:p>
      <w:pPr>
        <w:pStyle w:val="ListParagraph"/>
        <w:numPr>
          <w:ilvl w:val="0"/>
          <w:numId w:val="2"/>
        </w:numPr>
        <w:spacing w:before="60" w:after="60"/>
      </w:pPr>
      <w:r>
        <w:rPr>
          <w:rFonts w:ascii="Arial" w:cs="Arial" w:eastAsia="Arial" w:hAnsi="Arial"/>
          <w:color w:val="0F172A"/>
          <w:sz w:val="22"/>
          <w:szCs w:val="22"/>
        </w:rPr>
        <w:t xml:space="preserve">MATTER Health — matter.health</w:t>
      </w:r>
    </w:p>
    <w:p>
      <w:pPr>
        <w:spacing w:before="0" w:after="0"/>
      </w:pPr>
      <w:r>
        <w:t xml:space="preserve"/>
      </w:r>
    </w:p>
    <w:p>
      <w:pPr>
        <w:pStyle w:val="Heading2"/>
        <w:spacing w:before="280" w:after="140"/>
      </w:pPr>
      <w:r>
        <w:rPr>
          <w:rFonts w:ascii="Arial" w:cs="Arial" w:eastAsia="Arial" w:hAnsi="Arial"/>
          <w:b/>
          <w:bCs/>
          <w:color w:val="1E3A5F"/>
          <w:sz w:val="26"/>
          <w:szCs w:val="26"/>
        </w:rPr>
        <w:t xml:space="preserve">Local (Cook County / Tinley Park)</w:t>
      </w:r>
    </w:p>
    <w:p>
      <w:pPr>
        <w:pStyle w:val="ListParagraph"/>
        <w:numPr>
          <w:ilvl w:val="0"/>
          <w:numId w:val="2"/>
        </w:numPr>
        <w:spacing w:before="60" w:after="60"/>
      </w:pPr>
      <w:r>
        <w:rPr>
          <w:rFonts w:ascii="Arial" w:cs="Arial" w:eastAsia="Arial" w:hAnsi="Arial"/>
          <w:color w:val="0F172A"/>
          <w:sz w:val="22"/>
          <w:szCs w:val="22"/>
        </w:rPr>
        <w:t xml:space="preserve">Cook County Bureau of Economic Development — cookcountyil.gov/agency/bureau-economic-development</w:t>
      </w:r>
    </w:p>
    <w:p>
      <w:pPr>
        <w:pStyle w:val="ListParagraph"/>
        <w:numPr>
          <w:ilvl w:val="0"/>
          <w:numId w:val="2"/>
        </w:numPr>
        <w:spacing w:before="60" w:after="60"/>
      </w:pPr>
      <w:r>
        <w:rPr>
          <w:rFonts w:ascii="Arial" w:cs="Arial" w:eastAsia="Arial" w:hAnsi="Arial"/>
          <w:color w:val="0F172A"/>
          <w:sz w:val="22"/>
          <w:szCs w:val="22"/>
        </w:rPr>
        <w:t xml:space="preserve">Village of Tinley Park Economic Development — (708) 444-5000</w:t>
      </w:r>
    </w:p>
    <w:p>
      <w:pPr>
        <w:pStyle w:val="ListParagraph"/>
        <w:numPr>
          <w:ilvl w:val="0"/>
          <w:numId w:val="2"/>
        </w:numPr>
        <w:spacing w:before="60" w:after="60"/>
      </w:pPr>
      <w:r>
        <w:rPr>
          <w:rFonts w:ascii="Arial" w:cs="Arial" w:eastAsia="Arial" w:hAnsi="Arial"/>
          <w:color w:val="0F172A"/>
          <w:sz w:val="22"/>
          <w:szCs w:val="22"/>
        </w:rPr>
        <w:t xml:space="preserve">South Suburban Economic Development — ssedc.com</w:t>
      </w:r>
    </w:p>
    <w:p>
      <w:pPr>
        <w:pStyle w:val="ListParagraph"/>
        <w:numPr>
          <w:ilvl w:val="0"/>
          <w:numId w:val="2"/>
        </w:numPr>
        <w:spacing w:before="60" w:after="60"/>
      </w:pPr>
      <w:r>
        <w:rPr>
          <w:rFonts w:ascii="Arial" w:cs="Arial" w:eastAsia="Arial" w:hAnsi="Arial"/>
          <w:color w:val="0F172A"/>
          <w:sz w:val="22"/>
          <w:szCs w:val="22"/>
        </w:rPr>
        <w:t xml:space="preserve">Accion Opportunity Fund (Chicago) — accionopportunityfund.org</w:t>
      </w:r>
    </w:p>
    <w:p>
      <w:pPr>
        <w:pStyle w:val="ListParagraph"/>
        <w:numPr>
          <w:ilvl w:val="0"/>
          <w:numId w:val="2"/>
        </w:numPr>
        <w:spacing w:before="60" w:after="60"/>
      </w:pPr>
      <w:r>
        <w:rPr>
          <w:rFonts w:ascii="Arial" w:cs="Arial" w:eastAsia="Arial" w:hAnsi="Arial"/>
          <w:color w:val="0F172A"/>
          <w:sz w:val="22"/>
          <w:szCs w:val="22"/>
        </w:rPr>
        <w:t xml:space="preserve">Chicago Community Loan Fund — chicagocommunityloans.com</w:t>
      </w:r>
    </w:p>
    <w:p>
      <w:pPr>
        <w:spacing w:before="0" w:after="0"/>
      </w:pPr>
      <w:r>
        <w:t xml:space="preserve"/>
      </w:r>
    </w:p>
    <w:p>
      <w:pPr>
        <w:pStyle w:val="Heading2"/>
        <w:spacing w:before="280" w:after="140"/>
      </w:pPr>
      <w:r>
        <w:rPr>
          <w:rFonts w:ascii="Arial" w:cs="Arial" w:eastAsia="Arial" w:hAnsi="Arial"/>
          <w:b/>
          <w:bCs/>
          <w:color w:val="1E3A5F"/>
          <w:sz w:val="26"/>
          <w:szCs w:val="26"/>
        </w:rPr>
        <w:t xml:space="preserve">Crowdfunding Platforms</w:t>
      </w:r>
    </w:p>
    <w:p>
      <w:pPr>
        <w:pStyle w:val="ListParagraph"/>
        <w:numPr>
          <w:ilvl w:val="0"/>
          <w:numId w:val="2"/>
        </w:numPr>
        <w:spacing w:before="60" w:after="60"/>
      </w:pPr>
      <w:r>
        <w:rPr>
          <w:rFonts w:ascii="Arial" w:cs="Arial" w:eastAsia="Arial" w:hAnsi="Arial"/>
          <w:color w:val="0F172A"/>
          <w:sz w:val="22"/>
          <w:szCs w:val="22"/>
        </w:rPr>
        <w:t xml:space="preserve">Republic (Reg CF equity) — republic.com</w:t>
      </w:r>
    </w:p>
    <w:p>
      <w:pPr>
        <w:pStyle w:val="ListParagraph"/>
        <w:numPr>
          <w:ilvl w:val="0"/>
          <w:numId w:val="2"/>
        </w:numPr>
        <w:spacing w:before="60" w:after="60"/>
      </w:pPr>
      <w:r>
        <w:rPr>
          <w:rFonts w:ascii="Arial" w:cs="Arial" w:eastAsia="Arial" w:hAnsi="Arial"/>
          <w:color w:val="0F172A"/>
          <w:sz w:val="22"/>
          <w:szCs w:val="22"/>
        </w:rPr>
        <w:t xml:space="preserve">Wefunder (Reg CF equity) — wefunder.com</w:t>
      </w:r>
    </w:p>
    <w:p>
      <w:pPr>
        <w:pStyle w:val="ListParagraph"/>
        <w:numPr>
          <w:ilvl w:val="0"/>
          <w:numId w:val="2"/>
        </w:numPr>
        <w:spacing w:before="60" w:after="60"/>
      </w:pPr>
      <w:r>
        <w:rPr>
          <w:rFonts w:ascii="Arial" w:cs="Arial" w:eastAsia="Arial" w:hAnsi="Arial"/>
          <w:color w:val="0F172A"/>
          <w:sz w:val="22"/>
          <w:szCs w:val="22"/>
        </w:rPr>
        <w:t xml:space="preserve">Clearco (revenue-based) — clearco.com</w:t>
      </w:r>
    </w:p>
    <w:p>
      <w:pPr>
        <w:pStyle w:val="ListParagraph"/>
        <w:numPr>
          <w:ilvl w:val="0"/>
          <w:numId w:val="2"/>
        </w:numPr>
        <w:spacing w:before="60" w:after="60"/>
      </w:pPr>
      <w:r>
        <w:rPr>
          <w:rFonts w:ascii="Arial" w:cs="Arial" w:eastAsia="Arial" w:hAnsi="Arial"/>
          <w:color w:val="0F172A"/>
          <w:sz w:val="22"/>
          <w:szCs w:val="22"/>
        </w:rPr>
        <w:t xml:space="preserve">Lighter Capital (tech RBF) — lightercapital.com</w:t>
      </w:r>
    </w:p>
    <w:p>
      <w:pPr>
        <w:spacing w:before="0" w:after="0"/>
      </w:pPr>
      <w:r>
        <w:t xml:space="preserve"/>
      </w:r>
    </w:p>
    <w:p>
      <w:pPr>
        <w:pStyle w:val="Heading2"/>
        <w:spacing w:before="280" w:after="140"/>
      </w:pPr>
      <w:r>
        <w:rPr>
          <w:rFonts w:ascii="Arial" w:cs="Arial" w:eastAsia="Arial" w:hAnsi="Arial"/>
          <w:b/>
          <w:bCs/>
          <w:color w:val="1E3A5F"/>
          <w:sz w:val="26"/>
          <w:szCs w:val="26"/>
        </w:rPr>
        <w:t xml:space="preserve">Foundation Grants</w:t>
      </w:r>
    </w:p>
    <w:p>
      <w:pPr>
        <w:pStyle w:val="ListParagraph"/>
        <w:numPr>
          <w:ilvl w:val="0"/>
          <w:numId w:val="2"/>
        </w:numPr>
        <w:spacing w:before="60" w:after="60"/>
      </w:pPr>
      <w:r>
        <w:rPr>
          <w:rFonts w:ascii="Arial" w:cs="Arial" w:eastAsia="Arial" w:hAnsi="Arial"/>
          <w:color w:val="0F172A"/>
          <w:sz w:val="22"/>
          <w:szCs w:val="22"/>
        </w:rPr>
        <w:t xml:space="preserve">MacArthur Foundation (Chicago local!) — macfound.org</w:t>
      </w:r>
    </w:p>
    <w:p>
      <w:pPr>
        <w:pStyle w:val="ListParagraph"/>
        <w:numPr>
          <w:ilvl w:val="0"/>
          <w:numId w:val="2"/>
        </w:numPr>
        <w:spacing w:before="60" w:after="60"/>
      </w:pPr>
      <w:r>
        <w:rPr>
          <w:rFonts w:ascii="Arial" w:cs="Arial" w:eastAsia="Arial" w:hAnsi="Arial"/>
          <w:color w:val="0F172A"/>
          <w:sz w:val="22"/>
          <w:szCs w:val="22"/>
        </w:rPr>
        <w:t xml:space="preserve">Mozilla Foundation AI — foundation.mozilla.org</w:t>
      </w:r>
    </w:p>
    <w:p>
      <w:pPr>
        <w:pStyle w:val="ListParagraph"/>
        <w:numPr>
          <w:ilvl w:val="0"/>
          <w:numId w:val="2"/>
        </w:numPr>
        <w:spacing w:before="60" w:after="60"/>
      </w:pPr>
      <w:r>
        <w:rPr>
          <w:rFonts w:ascii="Arial" w:cs="Arial" w:eastAsia="Arial" w:hAnsi="Arial"/>
          <w:color w:val="0F172A"/>
          <w:sz w:val="22"/>
          <w:szCs w:val="22"/>
        </w:rPr>
        <w:t xml:space="preserve">Open Philanthropy AI Safety — openphilanthropy.org</w:t>
      </w:r>
    </w:p>
    <w:p>
      <w:pPr>
        <w:pStyle w:val="ListParagraph"/>
        <w:numPr>
          <w:ilvl w:val="0"/>
          <w:numId w:val="2"/>
        </w:numPr>
        <w:spacing w:before="60" w:after="60"/>
      </w:pPr>
      <w:r>
        <w:rPr>
          <w:rFonts w:ascii="Arial" w:cs="Arial" w:eastAsia="Arial" w:hAnsi="Arial"/>
          <w:color w:val="0F172A"/>
          <w:sz w:val="22"/>
          <w:szCs w:val="22"/>
        </w:rPr>
        <w:t xml:space="preserve">Microsoft AI for Good — microsoft.com/ai/ai-for-good</w:t>
      </w:r>
    </w:p>
    <w:p>
      <w:pPr>
        <w:pStyle w:val="ListParagraph"/>
        <w:numPr>
          <w:ilvl w:val="0"/>
          <w:numId w:val="2"/>
        </w:numPr>
        <w:spacing w:before="60" w:after="60"/>
      </w:pPr>
      <w:r>
        <w:rPr>
          <w:rFonts w:ascii="Arial" w:cs="Arial" w:eastAsia="Arial" w:hAnsi="Arial"/>
          <w:color w:val="0F172A"/>
          <w:sz w:val="22"/>
          <w:szCs w:val="22"/>
        </w:rPr>
        <w:t xml:space="preserve">Google.org AI Impact — google.org</w:t>
      </w:r>
    </w:p>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72A"/>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2026-02-22T03:57:03.653Z</dcterms:created>
  <dcterms:modified xsi:type="dcterms:W3CDTF">2026-02-22T03:57:03.654Z</dcterms:modified>
</cp:coreProperties>
</file>

<file path=docProps/custom.xml><?xml version="1.0" encoding="utf-8"?>
<Properties xmlns="http://schemas.openxmlformats.org/officeDocument/2006/custom-properties" xmlns:vt="http://schemas.openxmlformats.org/officeDocument/2006/docPropsVTypes"/>
</file>