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t xml:space="preserve"/>
      </w:r>
    </w:p>
    <w:p>
      <w:pPr>
        <w:spacing w:before="0" w:after="0"/>
      </w:pPr>
      <w:r>
        <w:t xml:space="preserve"/>
      </w:r>
    </w:p>
    <w:p>
      <w:pPr>
        <w:spacing w:before="0" w:after="0"/>
      </w:pPr>
      <w:r>
        <w:t xml:space="preserve"/>
      </w:r>
    </w:p>
    <w:p>
      <w:pPr>
        <w:spacing w:before="0" w:after="40"/>
        <w:jc w:val="center"/>
      </w:pPr>
      <w:r>
        <w:rPr>
          <w:rFonts w:ascii="Arial" w:cs="Arial" w:eastAsia="Arial" w:hAnsi="Arial"/>
          <w:b/>
          <w:bCs/>
          <w:color w:val="1B5E20"/>
          <w:sz w:val="96"/>
          <w:szCs w:val="96"/>
        </w:rPr>
        <w:t xml:space="preserve">$0 TO REVENUE</w:t>
      </w:r>
    </w:p>
    <w:p>
      <w:pPr>
        <w:spacing w:before="0" w:after="60"/>
        <w:jc w:val="center"/>
      </w:pPr>
      <w:r>
        <w:rPr>
          <w:rFonts w:ascii="Arial" w:cs="Arial" w:eastAsia="Arial" w:hAnsi="Arial"/>
          <w:b/>
          <w:bCs/>
          <w:color w:val="1B2A4A"/>
          <w:sz w:val="40"/>
          <w:szCs w:val="40"/>
        </w:rPr>
        <w:t xml:space="preserve">The OpenClaw / MACNN-RLS Startup Playbook</w:t>
      </w:r>
    </w:p>
    <w:p>
      <w:pPr>
        <w:pBdr>
          <w:bottom w:val="single" w:color="C9A84C" w:sz="8"/>
        </w:pBdr>
        <w:spacing w:before="0" w:after="200"/>
        <w:jc w:val="center"/>
      </w:pPr>
      <w:r>
        <w:t xml:space="preserve"/>
      </w:r>
    </w:p>
    <w:p>
      <w:pPr>
        <w:spacing w:before="0" w:after="40"/>
        <w:jc w:val="center"/>
      </w:pPr>
      <w:r>
        <w:rPr>
          <w:rFonts w:ascii="Arial" w:cs="Arial" w:eastAsia="Arial" w:hAnsi="Arial"/>
          <w:i/>
          <w:iCs/>
          <w:color w:val="4A5568"/>
          <w:sz w:val="24"/>
          <w:szCs w:val="24"/>
        </w:rPr>
        <w:t xml:space="preserve">Week-by-Week Execution Plan  ·  Revenue Streams  ·  Grant Funding  ·  Investor Path</w:t>
      </w:r>
    </w:p>
    <w:p>
      <w:pPr>
        <w:spacing w:before="0" w:after="360"/>
        <w:jc w:val="center"/>
      </w:pPr>
      <w:r>
        <w:rPr>
          <w:rFonts w:ascii="Arial" w:cs="Arial" w:eastAsia="Arial" w:hAnsi="Arial"/>
          <w:i/>
          <w:iCs/>
          <w:color w:val="4A5568"/>
          <w:sz w:val="22"/>
          <w:szCs w:val="22"/>
        </w:rPr>
        <w:t xml:space="preserve">From Tinley Park, IL  ·  Zero Capital Required to Start</w:t>
      </w:r>
    </w:p>
    <w:p>
      <w:pPr>
        <w:spacing w:before="0" w:after="0"/>
      </w:pPr>
      <w:r>
        <w:t xml:space="preserve"/>
      </w:r>
    </w:p>
    <w:p>
      <w:pPr>
        <w:spacing w:before="0" w:after="0"/>
      </w:pPr>
      <w:r>
        <w:t xml:space="preserve"/>
      </w:r>
    </w:p>
    <w:p>
      <w:pPr>
        <w:spacing w:before="0" w:after="0"/>
      </w:pPr>
      <w:r>
        <w:t xml:space="preserve"/>
      </w:r>
    </w:p>
    <w:p>
      <w:pPr>
        <w:jc w:val="center"/>
      </w:pPr>
      <w:r>
        <w:rPr>
          <w:rFonts w:ascii="Arial" w:cs="Arial" w:eastAsia="Arial" w:hAnsi="Arial"/>
          <w:color w:val="718096"/>
          <w:sz w:val="20"/>
          <w:szCs w:val="20"/>
        </w:rPr>
        <w:t xml:space="preserve">Confidential Working Document  ·  2025–2026 Execution Roadmap</w:t>
      </w:r>
    </w:p>
    <w:p>
      <w:r>
        <w:br w:type="page"/>
      </w:r>
    </w:p>
    <w:p>
      <w:pPr>
        <w:pStyle w:val="Heading1"/>
        <w:pBdr>
          <w:bottom w:val="single" w:color="2E75B6" w:sz="6" w:space="1"/>
        </w:pBdr>
        <w:spacing w:before="360" w:after="180"/>
      </w:pPr>
      <w:r>
        <w:rPr>
          <w:rFonts w:ascii="Arial" w:cs="Arial" w:eastAsia="Arial" w:hAnsi="Arial"/>
          <w:b/>
          <w:bCs/>
          <w:color w:val="1B2A4A"/>
          <w:sz w:val="34"/>
          <w:szCs w:val="34"/>
        </w:rPr>
        <w:t xml:space="preserve">The Honest Starting Point</w:t>
      </w:r>
    </w:p>
    <w:p>
      <w:pPr>
        <w:spacing w:before="80" w:after="120"/>
        <w:jc w:val="both"/>
      </w:pPr>
      <w:r>
        <w:rPr>
          <w:rFonts w:ascii="Arial" w:cs="Arial" w:eastAsia="Arial" w:hAnsi="Arial"/>
          <w:b w:val="false"/>
          <w:bCs w:val="false"/>
          <w:i w:val="false"/>
          <w:iCs w:val="false"/>
          <w:color w:val="1B2A4A"/>
          <w:sz w:val="22"/>
          <w:szCs w:val="22"/>
        </w:rPr>
        <w:t xml:space="preserve">You have three genuinely valuable assets: a working multi-agent AI architecture (MACNN-RLS / Hydra Sentinel-X), a coherent enterprise platform vision (OpenClaw), and documented research-grade intellectual property spanning cybernetics, neuromorphic computing, motor cognition, and multimodal metaphor processing. You have zero dollars in startup capital. This playbook converts the first set of assets into the second using a specific sequence of moves that costs nothing to execute.</w:t>
      </w:r>
    </w:p>
    <w:p>
      <w:pPr>
        <w:spacing w:before="80" w:after="120"/>
        <w:jc w:val="both"/>
      </w:pPr>
      <w:r>
        <w:rPr>
          <w:rFonts w:ascii="Arial" w:cs="Arial" w:eastAsia="Arial" w:hAnsi="Arial"/>
          <w:b w:val="false"/>
          <w:bCs w:val="false"/>
          <w:i w:val="false"/>
          <w:iCs w:val="false"/>
          <w:color w:val="1B2A4A"/>
          <w:sz w:val="22"/>
          <w:szCs w:val="22"/>
        </w:rPr>
        <w:t xml:space="preserve">The core principle is simple: sell before you build. Every dollar in the next 90 days comes from services and consulting that you can deliver right now with what you already have. Every hour of product work in the next 90 days is directed at exactly one artifact — the Hydra demo — that simultaneously proves the technology, generates the NSF SBIR application, attracts the first paying enterprise pilot, and seeds the OpenClaw open-source community.</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F8D7DA" w:val="clear"/>
            <w:tcMar>
              <w:top w:type="dxa" w:w="140"/>
              <w:left w:type="dxa" w:w="200"/>
              <w:bottom w:type="dxa" w:w="140"/>
              <w:right w:type="dxa" w:w="200"/>
            </w:tcMar>
          </w:tcPr>
          <w:p>
            <w:pPr>
              <w:spacing w:before="0" w:after="0"/>
            </w:pPr>
            <w:r>
              <w:rPr>
                <w:rFonts w:ascii="Arial" w:cs="Arial" w:eastAsia="Arial" w:hAnsi="Arial"/>
                <w:i w:val="false"/>
                <w:iCs w:val="false"/>
                <w:color w:val="7F1D1D"/>
                <w:sz w:val="21"/>
                <w:szCs w:val="21"/>
              </w:rPr>
              <w:t xml:space="preserve">The sequence is non-negotiable: Revenue first (consulting) → Proof second (Hydra demo) → Grant third (NSF SBIR Phase I: $275K) → Product fourth (OpenClaw Core) → Scale fifth (enterprise SaaS). Reversing this order is how well-resourced startups fail. With zero capital, it is fatal.</w:t>
            </w:r>
          </w:p>
        </w:tc>
      </w:tr>
    </w:tbl>
    <w:p>
      <w:pPr>
        <w:spacing w:before="0" w:after="0"/>
      </w:pPr>
      <w:r>
        <w:t xml:space="preserve"/>
      </w:r>
    </w:p>
    <w:p>
      <w:pPr>
        <w:pBdr>
          <w:bottom w:val="single" w:color="2E75B6" w:sz="3" w:space="2"/>
        </w:pBdr>
        <w:spacing w:before="120" w:after="120"/>
      </w:pPr>
      <w:r>
        <w:t xml:space="preserve"/>
      </w:r>
    </w:p>
    <w:p>
      <w:pPr>
        <w:pStyle w:val="Heading1"/>
        <w:pBdr>
          <w:bottom w:val="single" w:color="2E75B6" w:sz="6" w:space="1"/>
        </w:pBdr>
        <w:spacing w:before="360" w:after="180"/>
      </w:pPr>
      <w:r>
        <w:rPr>
          <w:rFonts w:ascii="Arial" w:cs="Arial" w:eastAsia="Arial" w:hAnsi="Arial"/>
          <w:b/>
          <w:bCs/>
          <w:color w:val="1B2A4A"/>
          <w:sz w:val="34"/>
          <w:szCs w:val="34"/>
        </w:rPr>
        <w:t xml:space="preserve">Part 1: The First 30 Days — Cash from Day One</w:t>
      </w:r>
    </w:p>
    <w:p>
      <w:pPr>
        <w:pStyle w:val="Heading2"/>
        <w:spacing w:before="280" w:after="140"/>
      </w:pPr>
      <w:r>
        <w:rPr>
          <w:rFonts w:ascii="Arial" w:cs="Arial" w:eastAsia="Arial" w:hAnsi="Arial"/>
          <w:b/>
          <w:bCs/>
          <w:color w:val="1E4D8C"/>
          <w:sz w:val="26"/>
          <w:szCs w:val="26"/>
        </w:rPr>
        <w:t xml:space="preserve">1.1  What You Are Selling Right Now</w:t>
      </w:r>
    </w:p>
    <w:p>
      <w:pPr>
        <w:spacing w:before="80" w:after="120"/>
        <w:jc w:val="both"/>
      </w:pPr>
      <w:r>
        <w:rPr>
          <w:rFonts w:ascii="Arial" w:cs="Arial" w:eastAsia="Arial" w:hAnsi="Arial"/>
          <w:b w:val="false"/>
          <w:bCs w:val="false"/>
          <w:i w:val="false"/>
          <w:iCs w:val="false"/>
          <w:color w:val="1B2A4A"/>
          <w:sz w:val="22"/>
          <w:szCs w:val="22"/>
        </w:rPr>
        <w:t xml:space="preserve">You have something most AI consultants do not: a working, documented, multi-agent system with a coherent theoretical framework and real performance telemetry (OrderBookAnalyzer +$1,450, ChartVision +$870, SentimentParser +$320). This is not a pitch deck — it is a functioning system with measurable outputs. That is your product for the next 30 days.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1800"/>
        <w:gridCol w:w="1200"/>
        <w:gridCol w:w="960"/>
      </w:tblGrid>
      <w:tr>
        <w:trPr>
          <w:tblHeader/>
        </w:trPr>
        <w:tc>
          <w:tcPr>
            <w:tcW w:type="dxa" w:w="2200"/>
            <w:tcBorders>
              <w:top w:val="single" w:color="2E75B6" w:sz="4"/>
              <w:left w:val="single" w:color="2E75B6" w:sz="4"/>
              <w:bottom w:val="single" w:color="2E75B6" w:sz="4"/>
              <w:right w:val="single" w:color="2E75B6" w:sz="4"/>
            </w:tcBorders>
            <w:shd w:fill="1E4D8C"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Service</w:t>
            </w:r>
          </w:p>
        </w:tc>
        <w:tc>
          <w:tcPr>
            <w:tcW w:type="dxa" w:w="3200"/>
            <w:tcBorders>
              <w:top w:val="single" w:color="2E75B6" w:sz="4"/>
              <w:left w:val="single" w:color="2E75B6" w:sz="4"/>
              <w:bottom w:val="single" w:color="2E75B6" w:sz="4"/>
              <w:right w:val="single" w:color="2E75B6" w:sz="4"/>
            </w:tcBorders>
            <w:shd w:fill="1E4D8C"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Description</w:t>
            </w:r>
          </w:p>
        </w:tc>
        <w:tc>
          <w:tcPr>
            <w:tcW w:type="dxa" w:w="1800"/>
            <w:tcBorders>
              <w:top w:val="single" w:color="2E75B6" w:sz="4"/>
              <w:left w:val="single" w:color="2E75B6" w:sz="4"/>
              <w:bottom w:val="single" w:color="2E75B6" w:sz="4"/>
              <w:right w:val="single" w:color="2E75B6" w:sz="4"/>
            </w:tcBorders>
            <w:shd w:fill="1E4D8C"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Price</w:t>
            </w:r>
          </w:p>
        </w:tc>
        <w:tc>
          <w:tcPr>
            <w:tcW w:type="dxa" w:w="1200"/>
            <w:tcBorders>
              <w:top w:val="single" w:color="2E75B6" w:sz="4"/>
              <w:left w:val="single" w:color="2E75B6" w:sz="4"/>
              <w:bottom w:val="single" w:color="2E75B6" w:sz="4"/>
              <w:right w:val="single" w:color="2E75B6" w:sz="4"/>
            </w:tcBorders>
            <w:shd w:fill="1E4D8C"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Time Commitment</w:t>
            </w:r>
          </w:p>
        </w:tc>
        <w:tc>
          <w:tcPr>
            <w:tcW w:type="dxa" w:w="960"/>
            <w:tcBorders>
              <w:top w:val="single" w:color="2E75B6" w:sz="4"/>
              <w:left w:val="single" w:color="2E75B6" w:sz="4"/>
              <w:bottom w:val="single" w:color="2E75B6" w:sz="4"/>
              <w:right w:val="single" w:color="2E75B6" w:sz="4"/>
            </w:tcBorders>
            <w:shd w:fill="1E4D8C"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Where to Find Clients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AI Architecture Audit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Review a company's existing AI/automation setup and deliver a MACNN-RLS-style architectural recommendations report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$2,500 – $5,000 per engagement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3–5 days</w:t>
            </w:r>
          </w:p>
        </w:tc>
        <w:tc>
          <w:tcPr>
            <w:tcW w:type="dxa" w:w="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LinkedIn, local Chicago-area SMBs, hedge fund contacts</w:t>
            </w:r>
          </w:p>
        </w:tc>
      </w:tr>
      <w:tr>
        <w:tc>
          <w:tcPr>
            <w:tcW w:type="dxa" w:w="22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Multi-Agent System Design Sprint</w:t>
            </w:r>
          </w:p>
        </w:tc>
        <w:tc>
          <w:tcPr>
            <w:tcW w:type="dxa" w:w="32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2-week engagement to design a custom multi-agent workflow for a specific business process (using your OMEGA ROOT + dual-process framework)</w:t>
            </w:r>
          </w:p>
        </w:tc>
        <w:tc>
          <w:tcPr>
            <w:tcW w:type="dxa" w:w="18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$8,000 – $15,000</w:t>
            </w:r>
          </w:p>
        </w:tc>
        <w:tc>
          <w:tcPr>
            <w:tcW w:type="dxa" w:w="12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2 weeks</w:t>
            </w:r>
          </w:p>
        </w:tc>
        <w:tc>
          <w:tcPr>
            <w:tcW w:type="dxa" w:w="96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FinTech firms, trading desks, operations-heavy SMBs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SBIR/STTR Grant Writing Consulting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Help another deep-tech founder write their NSF or DOE SBIR application (you have the NSF pitch structure documented)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$3,000 – $6,000 per proposal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1–2 weeks</w:t>
            </w:r>
          </w:p>
        </w:tc>
        <w:tc>
          <w:tcPr>
            <w:tcW w:type="dxa" w:w="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University tech transfer offices, Deep Tech founders on LinkedIn/Twitter</w:t>
            </w:r>
          </w:p>
        </w:tc>
      </w:tr>
      <w:tr>
        <w:tc>
          <w:tcPr>
            <w:tcW w:type="dxa" w:w="22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AI Strategy Workshop</w:t>
            </w:r>
          </w:p>
        </w:tc>
        <w:tc>
          <w:tcPr>
            <w:tcW w:type="dxa" w:w="32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Half-day workshop for a company's leadership on multi-agent AI architecture, risk governance (OMEGA ROOT), and implementation roadmap</w:t>
            </w:r>
          </w:p>
        </w:tc>
        <w:tc>
          <w:tcPr>
            <w:tcW w:type="dxa" w:w="18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$1,500 – $3,000 per session</w:t>
            </w:r>
          </w:p>
        </w:tc>
        <w:tc>
          <w:tcPr>
            <w:tcW w:type="dxa" w:w="12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4 hours</w:t>
            </w:r>
          </w:p>
        </w:tc>
        <w:tc>
          <w:tcPr>
            <w:tcW w:type="dxa" w:w="96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Chamber of Commerce, Tinley Park business network, LinkedIn outreach</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8F5E9" w:val="clear"/>
            <w:tcMar>
              <w:top w:type="dxa" w:w="140"/>
              <w:left w:type="dxa" w:w="200"/>
              <w:bottom w:type="dxa" w:w="140"/>
              <w:right w:type="dxa" w:w="200"/>
            </w:tcMar>
          </w:tcPr>
          <w:p>
            <w:pPr>
              <w:spacing w:before="0" w:after="0"/>
            </w:pPr>
            <w:r>
              <w:rPr>
                <w:rFonts w:ascii="Arial" w:cs="Arial" w:eastAsia="Arial" w:hAnsi="Arial"/>
                <w:i w:val="false"/>
                <w:iCs w:val="false"/>
                <w:color w:val="1B5E20"/>
                <w:sz w:val="21"/>
                <w:szCs w:val="21"/>
              </w:rPr>
              <w:t xml:space="preserve">Target: $5,000 in revenue within 30 days. One AI architecture audit + one strategy workshop gets you there. This is not aspirational — companies in the Chicago metro area are actively spending on exactly this right now.</w:t>
            </w:r>
          </w:p>
        </w:tc>
      </w:tr>
    </w:tbl>
    <w:p>
      <w:pPr>
        <w:spacing w:before="0" w:after="0"/>
      </w:pPr>
      <w:r>
        <w:t xml:space="preserve"/>
      </w:r>
    </w:p>
    <w:p>
      <w:pPr>
        <w:pStyle w:val="Heading2"/>
        <w:spacing w:before="280" w:after="140"/>
      </w:pPr>
      <w:r>
        <w:rPr>
          <w:rFonts w:ascii="Arial" w:cs="Arial" w:eastAsia="Arial" w:hAnsi="Arial"/>
          <w:b/>
          <w:bCs/>
          <w:color w:val="1E4D8C"/>
          <w:sz w:val="26"/>
          <w:szCs w:val="26"/>
        </w:rPr>
        <w:t xml:space="preserve">1.2  Day-by-Day Action Plan: Week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400"/>
        <w:gridCol w:w="1480"/>
        <w:gridCol w:w="1480"/>
      </w:tblGrid>
      <w:tr>
        <w:trPr>
          <w:tblHeader/>
        </w:trPr>
        <w:tc>
          <w:tcPr>
            <w:tcW w:type="dxa" w:w="1000"/>
            <w:tcBorders>
              <w:top w:val="single" w:color="2E75B6" w:sz="4"/>
              <w:left w:val="single" w:color="2E75B6" w:sz="4"/>
              <w:bottom w:val="single" w:color="2E75B6" w:sz="4"/>
              <w:right w:val="single" w:color="2E75B6" w:sz="4"/>
            </w:tcBorders>
            <w:shd w:fill="1E4D8C"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Day</w:t>
            </w:r>
          </w:p>
        </w:tc>
        <w:tc>
          <w:tcPr>
            <w:tcW w:type="dxa" w:w="5400"/>
            <w:tcBorders>
              <w:top w:val="single" w:color="2E75B6" w:sz="4"/>
              <w:left w:val="single" w:color="2E75B6" w:sz="4"/>
              <w:bottom w:val="single" w:color="2E75B6" w:sz="4"/>
              <w:right w:val="single" w:color="2E75B6" w:sz="4"/>
            </w:tcBorders>
            <w:shd w:fill="1E4D8C"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Action</w:t>
            </w:r>
          </w:p>
        </w:tc>
        <w:tc>
          <w:tcPr>
            <w:tcW w:type="dxa" w:w="1480"/>
            <w:tcBorders>
              <w:top w:val="single" w:color="2E75B6" w:sz="4"/>
              <w:left w:val="single" w:color="2E75B6" w:sz="4"/>
              <w:bottom w:val="single" w:color="2E75B6" w:sz="4"/>
              <w:right w:val="single" w:color="2E75B6" w:sz="4"/>
            </w:tcBorders>
            <w:shd w:fill="1E4D8C"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Time</w:t>
            </w:r>
          </w:p>
        </w:tc>
        <w:tc>
          <w:tcPr>
            <w:tcW w:type="dxa" w:w="1480"/>
            <w:tcBorders>
              <w:top w:val="single" w:color="2E75B6" w:sz="4"/>
              <w:left w:val="single" w:color="2E75B6" w:sz="4"/>
              <w:bottom w:val="single" w:color="2E75B6" w:sz="4"/>
              <w:right w:val="single" w:color="2E75B6" w:sz="4"/>
            </w:tcBorders>
            <w:shd w:fill="1E4D8C"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Cost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Day 1</w:t>
            </w:r>
          </w:p>
        </w:tc>
        <w:tc>
          <w:tcPr>
            <w:tcW w:type="dxa" w:w="5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Create a one-page service menu PDF using the table above. Post it on LinkedIn with a 3-paragraph thread explaining your MACNN-RLS architecture in plain English. Target: 3 direct outreach messages to former colleagues or contacts at trading firms, hedge funds, or fintech companies.</w:t>
            </w:r>
          </w:p>
        </w:tc>
        <w:tc>
          <w:tcPr>
            <w:tcW w:type="dxa" w:w="14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Free</w:t>
            </w:r>
          </w:p>
        </w:tc>
        <w:tc>
          <w:tcPr>
            <w:tcW w:type="dxa" w:w="14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$0</w:t>
            </w:r>
          </w:p>
        </w:tc>
      </w:tr>
      <w:tr>
        <w:tc>
          <w:tcPr>
            <w:tcW w:type="dxa" w:w="10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Day 2</w:t>
            </w:r>
          </w:p>
        </w:tc>
        <w:tc>
          <w:tcPr>
            <w:tcW w:type="dxa" w:w="54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Register your business entity. In Illinois, an LLC costs $150 filing fee. File online at ilsos.gov. Open a free business checking account (Chase, Relay, or Mercury — all free). You now have a legitimate business.</w:t>
            </w:r>
          </w:p>
        </w:tc>
        <w:tc>
          <w:tcPr>
            <w:tcW w:type="dxa" w:w="148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2 hours</w:t>
            </w:r>
          </w:p>
        </w:tc>
        <w:tc>
          <w:tcPr>
            <w:tcW w:type="dxa" w:w="148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$150 (waivable: see note below)</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Day 3</w:t>
            </w:r>
          </w:p>
        </w:tc>
        <w:tc>
          <w:tcPr>
            <w:tcW w:type="dxa" w:w="5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Write a 1,000-word LinkedIn article: 'Why Multi-Agent AI Fails Without a Governance Kernel: Lessons from Building Hydra Sentinel-X.' This establishes credibility and generates inbound. Post it. Share in 3 LinkedIn groups (AI, FinTech Chicago, Trading Tech).</w:t>
            </w:r>
          </w:p>
        </w:tc>
        <w:tc>
          <w:tcPr>
            <w:tcW w:type="dxa" w:w="14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3 hours</w:t>
            </w:r>
          </w:p>
        </w:tc>
        <w:tc>
          <w:tcPr>
            <w:tcW w:type="dxa" w:w="14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$0</w:t>
            </w:r>
          </w:p>
        </w:tc>
      </w:tr>
      <w:tr>
        <w:tc>
          <w:tcPr>
            <w:tcW w:type="dxa" w:w="10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Day 4</w:t>
            </w:r>
          </w:p>
        </w:tc>
        <w:tc>
          <w:tcPr>
            <w:tcW w:type="dxa" w:w="54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Submit 5 proposals on Upwork and Toptal for 'AI architecture consultant' and 'LLM/multi-agent system design' roles. Set your rate at $150/hr. One booking at 40 hours = $6,000.</w:t>
            </w:r>
          </w:p>
        </w:tc>
        <w:tc>
          <w:tcPr>
            <w:tcW w:type="dxa" w:w="148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2 hours</w:t>
            </w:r>
          </w:p>
        </w:tc>
        <w:tc>
          <w:tcPr>
            <w:tcW w:type="dxa" w:w="148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$0</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Day 5</w:t>
            </w:r>
          </w:p>
        </w:tc>
        <w:tc>
          <w:tcPr>
            <w:tcW w:type="dxa" w:w="5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Email the Illinois SBDC (Small Business Development Center) at Governors State University — free consulting for Illinois entrepreneurs. Request a meeting to discuss SBIR strategy. This is a free resource that accelerates your grant pathway.</w:t>
            </w:r>
          </w:p>
        </w:tc>
        <w:tc>
          <w:tcPr>
            <w:tcW w:type="dxa" w:w="14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30 min</w:t>
            </w:r>
          </w:p>
        </w:tc>
        <w:tc>
          <w:tcPr>
            <w:tcW w:type="dxa" w:w="14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$0</w:t>
            </w:r>
          </w:p>
        </w:tc>
      </w:tr>
      <w:tr>
        <w:tc>
          <w:tcPr>
            <w:tcW w:type="dxa" w:w="10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Day 6–7</w:t>
            </w:r>
          </w:p>
        </w:tc>
        <w:tc>
          <w:tcPr>
            <w:tcW w:type="dxa" w:w="54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Follow up on all outreach. Refine the LinkedIn post based on engagement. Draft your service contract template (one page, plain English, 50% upfront payment required). Use Docusign free tier.</w:t>
            </w:r>
          </w:p>
        </w:tc>
        <w:tc>
          <w:tcPr>
            <w:tcW w:type="dxa" w:w="148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Weekend work</w:t>
            </w:r>
          </w:p>
        </w:tc>
        <w:tc>
          <w:tcPr>
            <w:tcW w:type="dxa" w:w="148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$0</w:t>
            </w:r>
          </w:p>
        </w:tc>
      </w:tr>
    </w:tbl>
    <w:p>
      <w:pPr>
        <w:spacing w:before="0" w:after="0"/>
      </w:pPr>
      <w:r>
        <w:t xml:space="preserve"/>
      </w:r>
    </w:p>
    <w:p>
      <w:pPr>
        <w:spacing w:before="80" w:after="120"/>
        <w:jc w:val="both"/>
      </w:pPr>
      <w:r>
        <w:rPr>
          <w:rFonts w:ascii="Arial" w:cs="Arial" w:eastAsia="Arial" w:hAnsi="Arial"/>
          <w:b w:val="false"/>
          <w:bCs w:val="false"/>
          <w:i w:val="false"/>
          <w:iCs w:val="false"/>
          <w:color w:val="1B2A4A"/>
          <w:sz w:val="22"/>
          <w:szCs w:val="22"/>
        </w:rPr>
        <w:t xml:space="preserve">Note on LLC filing fee: If $150 is currently unavailable, operate as a sole proprietor (DBA) with zero filing cost for the first 30 days. The legal entity can wait until after first revenue.</w:t>
      </w:r>
    </w:p>
    <w:p>
      <w:pPr>
        <w:pStyle w:val="Heading2"/>
        <w:spacing w:before="280" w:after="140"/>
      </w:pPr>
      <w:r>
        <w:rPr>
          <w:rFonts w:ascii="Arial" w:cs="Arial" w:eastAsia="Arial" w:hAnsi="Arial"/>
          <w:b/>
          <w:bCs/>
          <w:color w:val="1E4D8C"/>
          <w:sz w:val="26"/>
          <w:szCs w:val="26"/>
        </w:rPr>
        <w:t xml:space="preserve">1.3  Week 2–4: Close the First Client</w:t>
      </w:r>
    </w:p>
    <w:p>
      <w:pPr>
        <w:spacing w:before="80" w:after="120"/>
        <w:jc w:val="both"/>
      </w:pPr>
      <w:r>
        <w:rPr>
          <w:rFonts w:ascii="Arial" w:cs="Arial" w:eastAsia="Arial" w:hAnsi="Arial"/>
          <w:b w:val="false"/>
          <w:bCs w:val="false"/>
          <w:i w:val="false"/>
          <w:iCs w:val="false"/>
          <w:color w:val="1B2A4A"/>
          <w:sz w:val="22"/>
          <w:szCs w:val="22"/>
        </w:rPr>
        <w:t xml:space="preserve">The LinkedIn article from Day 3 and the direct outreach messages are your pipeline. The goal is one paid engagement — any of the four service types — closed by Day 21. Here is the exact sales script for the discovery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34E4A" w:sz="1"/>
              <w:left w:val="single" w:color="134E4A" w:sz="1"/>
              <w:bottom w:val="single" w:color="134E4A" w:sz="1"/>
              <w:right w:val="single" w:color="134E4A" w:sz="1"/>
            </w:tcBorders>
            <w:shd w:fill="CCFBF1" w:val="clear"/>
            <w:tcMar>
              <w:top w:type="dxa" w:w="120"/>
              <w:left w:type="dxa" w:w="200"/>
              <w:bottom w:type="dxa" w:w="120"/>
              <w:right w:type="dxa" w:w="200"/>
            </w:tcMar>
          </w:tcPr>
          <w:p>
            <w:pPr>
              <w:spacing w:before="0" w:after="40"/>
            </w:pPr>
            <w:r>
              <w:rPr>
                <w:rFonts w:ascii="Arial" w:cs="Arial" w:eastAsia="Arial" w:hAnsi="Arial"/>
                <w:b/>
                <w:bCs/>
                <w:color w:val="134E4A"/>
                <w:sz w:val="22"/>
                <w:szCs w:val="22"/>
              </w:rPr>
              <w:t xml:space="preserve">Discovery Call Framework (15 minutes)</w:t>
            </w:r>
          </w:p>
          <w:p>
            <w:pPr>
              <w:spacing w:before="0" w:after="0"/>
            </w:pPr>
            <w:r>
              <w:rPr>
                <w:rFonts w:ascii="Arial" w:cs="Arial" w:eastAsia="Arial" w:hAnsi="Arial"/>
                <w:color w:val="1B2A4A"/>
                <w:sz w:val="21"/>
                <w:szCs w:val="21"/>
              </w:rPr>
              <w:t xml:space="preserve">Opening (2 min): 'I spent the last 2 years building a multi-agent AI system for financial intelligence. The biggest thing I learned is that 90% of enterprise AI failures are governance failures, not model failures. Can I show you what I mean?'
Demonstration (8 min): Screen share your MACNN-RLS architecture diagram. Explain the OMEGA ROOT kernel in plain terms. Show the agent performance telemetry.
Close (5 min): 'Based on what you've told me about your situation, a 3-day architecture audit would give you a clear picture of where your current AI setup has governance gaps. My rate for that is $3,500. I can start this week. Does that work?'</w:t>
            </w:r>
          </w:p>
        </w:tc>
      </w:tr>
    </w:tbl>
    <w:p>
      <w:pPr>
        <w:spacing w:before="0" w:after="0"/>
      </w:pPr>
      <w:r>
        <w:t xml:space="preserve"/>
      </w:r>
    </w:p>
    <w:p>
      <w:pPr>
        <w:pStyle w:val="Heading2"/>
        <w:spacing w:before="280" w:after="140"/>
      </w:pPr>
      <w:r>
        <w:rPr>
          <w:rFonts w:ascii="Arial" w:cs="Arial" w:eastAsia="Arial" w:hAnsi="Arial"/>
          <w:b/>
          <w:bCs/>
          <w:color w:val="1E4D8C"/>
          <w:sz w:val="26"/>
          <w:szCs w:val="26"/>
        </w:rPr>
        <w:t xml:space="preserve">1.4  Free Tools and Zero-Cost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600"/>
        <w:gridCol w:w="1760"/>
      </w:tblGrid>
      <w:tr>
        <w:trPr>
          <w:tblHeader/>
        </w:trPr>
        <w:tc>
          <w:tcPr>
            <w:tcW w:type="dxa" w:w="3000"/>
            <w:tcBorders>
              <w:top w:val="single" w:color="2E75B6" w:sz="4"/>
              <w:left w:val="single" w:color="2E75B6" w:sz="4"/>
              <w:bottom w:val="single" w:color="2E75B6" w:sz="4"/>
              <w:right w:val="single" w:color="2E75B6" w:sz="4"/>
            </w:tcBorders>
            <w:shd w:fill="1E4D8C"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Category</w:t>
            </w:r>
          </w:p>
        </w:tc>
        <w:tc>
          <w:tcPr>
            <w:tcW w:type="dxa" w:w="4600"/>
            <w:tcBorders>
              <w:top w:val="single" w:color="2E75B6" w:sz="4"/>
              <w:left w:val="single" w:color="2E75B6" w:sz="4"/>
              <w:bottom w:val="single" w:color="2E75B6" w:sz="4"/>
              <w:right w:val="single" w:color="2E75B6" w:sz="4"/>
            </w:tcBorders>
            <w:shd w:fill="1E4D8C"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Tools</w:t>
            </w:r>
          </w:p>
        </w:tc>
        <w:tc>
          <w:tcPr>
            <w:tcW w:type="dxa" w:w="1760"/>
            <w:tcBorders>
              <w:top w:val="single" w:color="2E75B6" w:sz="4"/>
              <w:left w:val="single" w:color="2E75B6" w:sz="4"/>
              <w:bottom w:val="single" w:color="2E75B6" w:sz="4"/>
              <w:right w:val="single" w:color="2E75B6" w:sz="4"/>
            </w:tcBorders>
            <w:shd w:fill="1E4D8C"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Cost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Development</w:t>
            </w:r>
          </w:p>
        </w:tc>
        <w:tc>
          <w:tcPr>
            <w:tcW w:type="dxa" w:w="4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GitHub (free), VS Code (free), Docker Desktop (free for personal use), Python/Rust (free)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$0/month</w:t>
            </w:r>
          </w:p>
        </w:tc>
      </w:tr>
      <w:tr>
        <w:tc>
          <w:tcPr>
            <w:tcW w:type="dxa" w:w="30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AI/LLM API</w:t>
            </w:r>
          </w:p>
        </w:tc>
        <w:tc>
          <w:tcPr>
            <w:tcW w:type="dxa" w:w="46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Anthropic API free tier ($5 credit), OpenAI free tier, Groq (free tier, fast inference), Ollama (local, free)</w:t>
            </w:r>
          </w:p>
        </w:tc>
        <w:tc>
          <w:tcPr>
            <w:tcW w:type="dxa" w:w="176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$0/month to start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Vector Database</w:t>
            </w:r>
          </w:p>
        </w:tc>
        <w:tc>
          <w:tcPr>
            <w:tcW w:type="dxa" w:w="4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Qdrant Cloud (free tier: 1GB), Chroma (local, free), Weaviate (free tier)</w:t>
            </w:r>
          </w:p>
        </w:tc>
        <w:tc>
          <w:tcPr>
            <w:tcW w:type="dxa" w:w="1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$0/month</w:t>
            </w:r>
          </w:p>
        </w:tc>
      </w:tr>
      <w:tr>
        <w:tc>
          <w:tcPr>
            <w:tcW w:type="dxa" w:w="30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Communication</w:t>
            </w:r>
          </w:p>
        </w:tc>
        <w:tc>
          <w:tcPr>
            <w:tcW w:type="dxa" w:w="46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Discord (free), Slack free tier (for client), Gmail (free), Calendly (free tier for scheduling)</w:t>
            </w:r>
          </w:p>
        </w:tc>
        <w:tc>
          <w:tcPr>
            <w:tcW w:type="dxa" w:w="176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$0/month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Document/Proposal</w:t>
            </w:r>
          </w:p>
        </w:tc>
        <w:tc>
          <w:tcPr>
            <w:tcW w:type="dxa" w:w="4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Google Docs (free), Notion (free tier), Docusign (free tier: 3 sends/month)</w:t>
            </w:r>
          </w:p>
        </w:tc>
        <w:tc>
          <w:tcPr>
            <w:tcW w:type="dxa" w:w="1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$0/month</w:t>
            </w:r>
          </w:p>
        </w:tc>
      </w:tr>
      <w:tr>
        <w:tc>
          <w:tcPr>
            <w:tcW w:type="dxa" w:w="30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Payments</w:t>
            </w:r>
          </w:p>
        </w:tc>
        <w:tc>
          <w:tcPr>
            <w:tcW w:type="dxa" w:w="46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Stripe (free setup, 2.9% + 30¢ per transaction), PayPal (free), Wire transfer (free from client side)</w:t>
            </w:r>
          </w:p>
        </w:tc>
        <w:tc>
          <w:tcPr>
            <w:tcW w:type="dxa" w:w="176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0% until revenue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Website</w:t>
            </w:r>
          </w:p>
        </w:tc>
        <w:tc>
          <w:tcPr>
            <w:tcW w:type="dxa" w:w="4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GitHub Pages (free), Vercel (free tier), Carrd.co ($19/year for custom domain)</w:t>
            </w:r>
          </w:p>
        </w:tc>
        <w:tc>
          <w:tcPr>
            <w:tcW w:type="dxa" w:w="1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$0 to $19/year</w:t>
            </w:r>
          </w:p>
        </w:tc>
      </w:tr>
      <w:tr>
        <w:tc>
          <w:tcPr>
            <w:tcW w:type="dxa" w:w="30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Project Management</w:t>
            </w:r>
          </w:p>
        </w:tc>
        <w:tc>
          <w:tcPr>
            <w:tcW w:type="dxa" w:w="46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GitHub Projects (free), Trello (free), Linear (free tier)</w:t>
            </w:r>
          </w:p>
        </w:tc>
        <w:tc>
          <w:tcPr>
            <w:tcW w:type="dxa" w:w="176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$0/month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Analytics</w:t>
            </w:r>
          </w:p>
        </w:tc>
        <w:tc>
          <w:tcPr>
            <w:tcW w:type="dxa" w:w="4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Google Analytics (free), Posthog (free tier for open source)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$0/month</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6E4F0" w:val="clear"/>
            <w:tcMar>
              <w:top w:type="dxa" w:w="140"/>
              <w:left w:type="dxa" w:w="200"/>
              <w:bottom w:type="dxa" w:w="140"/>
              <w:right w:type="dxa" w:w="200"/>
            </w:tcMar>
          </w:tcPr>
          <w:p>
            <w:pPr>
              <w:spacing w:before="0" w:after="0"/>
            </w:pPr>
            <w:r>
              <w:rPr>
                <w:rFonts w:ascii="Arial" w:cs="Arial" w:eastAsia="Arial" w:hAnsi="Arial"/>
                <w:i/>
                <w:iCs/>
                <w:color w:val="1B2A4A"/>
                <w:sz w:val="21"/>
                <w:szCs w:val="21"/>
              </w:rPr>
              <w:t xml:space="preserve">Total monthly infrastructure cost at zero revenue: $0. Total after first paying client: still $0. The only mandatory expense in Month 1 is the $150 Illinois LLC fee, and even that can be deferred.</w:t>
            </w:r>
          </w:p>
        </w:tc>
      </w:tr>
    </w:tbl>
    <w:p>
      <w:pPr>
        <w:spacing w:before="0" w:after="0"/>
      </w:pPr>
      <w:r>
        <w:t xml:space="preserve"/>
      </w:r>
    </w:p>
    <w:p>
      <w:pPr>
        <w:pBdr>
          <w:bottom w:val="single" w:color="2E75B6" w:sz="3" w:space="2"/>
        </w:pBdr>
        <w:spacing w:before="120" w:after="120"/>
      </w:pPr>
      <w:r>
        <w:t xml:space="preserve"/>
      </w:r>
    </w:p>
    <w:p>
      <w:pPr>
        <w:pStyle w:val="Heading1"/>
        <w:pBdr>
          <w:bottom w:val="single" w:color="2E75B6" w:sz="6" w:space="1"/>
        </w:pBdr>
        <w:spacing w:before="360" w:after="180"/>
      </w:pPr>
      <w:r>
        <w:rPr>
          <w:rFonts w:ascii="Arial" w:cs="Arial" w:eastAsia="Arial" w:hAnsi="Arial"/>
          <w:b/>
          <w:bCs/>
          <w:color w:val="1B2A4A"/>
          <w:sz w:val="34"/>
          <w:szCs w:val="34"/>
        </w:rPr>
        <w:t xml:space="preserve">Part 2: The 30–90 Day Engine — Building While Earning</w:t>
      </w:r>
    </w:p>
    <w:p>
      <w:pPr>
        <w:pStyle w:val="Heading2"/>
        <w:spacing w:before="280" w:after="140"/>
      </w:pPr>
      <w:r>
        <w:rPr>
          <w:rFonts w:ascii="Arial" w:cs="Arial" w:eastAsia="Arial" w:hAnsi="Arial"/>
          <w:b/>
          <w:bCs/>
          <w:color w:val="1E4D8C"/>
          <w:sz w:val="26"/>
          <w:szCs w:val="26"/>
        </w:rPr>
        <w:t xml:space="preserve">2.1  The Hydra Demo: Your Most Important Artifact</w:t>
      </w:r>
    </w:p>
    <w:p>
      <w:pPr>
        <w:spacing w:before="80" w:after="120"/>
        <w:jc w:val="both"/>
      </w:pPr>
      <w:r>
        <w:rPr>
          <w:rFonts w:ascii="Arial" w:cs="Arial" w:eastAsia="Arial" w:hAnsi="Arial"/>
          <w:b w:val="false"/>
          <w:bCs w:val="false"/>
          <w:i w:val="false"/>
          <w:iCs w:val="false"/>
          <w:color w:val="1B2A4A"/>
          <w:sz w:val="22"/>
          <w:szCs w:val="22"/>
        </w:rPr>
        <w:t xml:space="preserve">The Enterprise Roadmap document identifies the Hydra Sentinel-X refactor as the proof-of-concept that validates the entire OpenClaw architecture. This is correct. The Hydra demo is not a side project — it is the single most valuable thing you can build in the next 60 days because it simultaneously serves four purposes: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560"/>
      </w:tblGrid>
      <w:tr>
        <w:trPr>
          <w:tblHeader/>
        </w:trPr>
        <w:tc>
          <w:tcPr>
            <w:tcW w:type="dxa" w:w="2400"/>
            <w:tcBorders>
              <w:top w:val="single" w:color="2E75B6" w:sz="4"/>
              <w:left w:val="single" w:color="2E75B6" w:sz="4"/>
              <w:bottom w:val="single" w:color="2E75B6" w:sz="4"/>
              <w:right w:val="single" w:color="2E75B6" w:sz="4"/>
            </w:tcBorders>
            <w:shd w:fill="1E4D8C"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Purpose</w:t>
            </w:r>
          </w:p>
        </w:tc>
        <w:tc>
          <w:tcPr>
            <w:tcW w:type="dxa" w:w="4400"/>
            <w:tcBorders>
              <w:top w:val="single" w:color="2E75B6" w:sz="4"/>
              <w:left w:val="single" w:color="2E75B6" w:sz="4"/>
              <w:bottom w:val="single" w:color="2E75B6" w:sz="4"/>
              <w:right w:val="single" w:color="2E75B6" w:sz="4"/>
            </w:tcBorders>
            <w:shd w:fill="1E4D8C"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How Hydra Serves It</w:t>
            </w:r>
          </w:p>
        </w:tc>
        <w:tc>
          <w:tcPr>
            <w:tcW w:type="dxa" w:w="2560"/>
            <w:tcBorders>
              <w:top w:val="single" w:color="2E75B6" w:sz="4"/>
              <w:left w:val="single" w:color="2E75B6" w:sz="4"/>
              <w:bottom w:val="single" w:color="2E75B6" w:sz="4"/>
              <w:right w:val="single" w:color="2E75B6" w:sz="4"/>
            </w:tcBorders>
            <w:shd w:fill="1E4D8C"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Financial Outcome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NSF SBIR Application</w:t>
            </w:r>
          </w:p>
        </w:tc>
        <w:tc>
          <w:tcPr>
            <w:tcW w:type="dxa" w:w="4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The demo IS the 'proof of scientific and technical feasibility' section of your Phase I application. Every experiment, benchmark, and result you run on Hydra is grant content.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Unlocks $275K non-dilutive funding</w:t>
            </w:r>
          </w:p>
        </w:tc>
      </w:tr>
      <w:tr>
        <w:tc>
          <w:tcPr>
            <w:tcW w:type="dxa" w:w="24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Sales Demonstration</w:t>
            </w:r>
          </w:p>
        </w:tc>
        <w:tc>
          <w:tcPr>
            <w:tcW w:type="dxa" w:w="44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A running multi-agent system with live performance metrics is worth 10x more than any slide deck in an enterprise sales conversation.</w:t>
            </w:r>
          </w:p>
        </w:tc>
        <w:tc>
          <w:tcPr>
            <w:tcW w:type="dxa" w:w="256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Closes the $15K–$50K pilot contracts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OpenClaw Proof</w:t>
            </w:r>
          </w:p>
        </w:tc>
        <w:tc>
          <w:tcPr>
            <w:tcW w:type="dxa" w:w="4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Hydra refactored as a Swarm Template proves that the OpenClaw architecture works, enabling the open-source launch and community formation.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Creates developer ecosystem and ClawHub revenue</w:t>
            </w:r>
          </w:p>
        </w:tc>
      </w:tr>
      <w:tr>
        <w:tc>
          <w:tcPr>
            <w:tcW w:type="dxa" w:w="24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Investor Artifact</w:t>
            </w:r>
          </w:p>
        </w:tc>
        <w:tc>
          <w:tcPr>
            <w:tcW w:type="dxa" w:w="44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Measurable agent performance telemetry (profit/loss, decision latency, Byzantine fault tolerance) gives investors something concrete to evaluate.</w:t>
            </w:r>
          </w:p>
        </w:tc>
        <w:tc>
          <w:tcPr>
            <w:tcW w:type="dxa" w:w="256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Enables angel/seed fundraising conversation</w:t>
            </w:r>
          </w:p>
        </w:tc>
      </w:tr>
    </w:tbl>
    <w:p>
      <w:pPr>
        <w:spacing w:before="0" w:after="0"/>
      </w:pPr>
      <w:r>
        <w:t xml:space="preserve"/>
      </w:r>
    </w:p>
    <w:p>
      <w:pPr>
        <w:pStyle w:val="Heading2"/>
        <w:spacing w:before="280" w:after="140"/>
      </w:pPr>
      <w:r>
        <w:rPr>
          <w:rFonts w:ascii="Arial" w:cs="Arial" w:eastAsia="Arial" w:hAnsi="Arial"/>
          <w:b/>
          <w:bCs/>
          <w:color w:val="1E4D8C"/>
          <w:sz w:val="26"/>
          <w:szCs w:val="26"/>
        </w:rPr>
        <w:t xml:space="preserve">2.2  The Hydra Refactor Plan (Days 31–60)</w:t>
      </w:r>
    </w:p>
    <w:p>
      <w:pPr>
        <w:spacing w:before="80" w:after="120"/>
        <w:jc w:val="both"/>
      </w:pPr>
      <w:r>
        <w:rPr>
          <w:rFonts w:ascii="Arial" w:cs="Arial" w:eastAsia="Arial" w:hAnsi="Arial"/>
          <w:b w:val="false"/>
          <w:bCs w:val="false"/>
          <w:i w:val="false"/>
          <w:iCs w:val="false"/>
          <w:color w:val="1B2A4A"/>
          <w:sz w:val="22"/>
          <w:szCs w:val="22"/>
        </w:rPr>
        <w:t xml:space="preserve">The refactor converts Hydra from a standalone Python script to a Swarm Template running on the OpenClaw architecture. The engineering work is four discrete tasks that can be completed in parallel with consulting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3600"/>
        <w:gridCol w:w="1200"/>
        <w:gridCol w:w="1760"/>
      </w:tblGrid>
      <w:tr>
        <w:trPr>
          <w:tblHeader/>
        </w:trPr>
        <w:tc>
          <w:tcPr>
            <w:tcW w:type="dxa" w:w="800"/>
            <w:tcBorders>
              <w:top w:val="single" w:color="2E75B6" w:sz="4"/>
              <w:left w:val="single" w:color="2E75B6" w:sz="4"/>
              <w:bottom w:val="single" w:color="2E75B6" w:sz="4"/>
              <w:right w:val="single" w:color="2E75B6" w:sz="4"/>
            </w:tcBorders>
            <w:shd w:fill="1E4D8C"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w:t>
            </w:r>
          </w:p>
        </w:tc>
        <w:tc>
          <w:tcPr>
            <w:tcW w:type="dxa" w:w="2000"/>
            <w:tcBorders>
              <w:top w:val="single" w:color="2E75B6" w:sz="4"/>
              <w:left w:val="single" w:color="2E75B6" w:sz="4"/>
              <w:bottom w:val="single" w:color="2E75B6" w:sz="4"/>
              <w:right w:val="single" w:color="2E75B6" w:sz="4"/>
            </w:tcBorders>
            <w:shd w:fill="1E4D8C"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Component</w:t>
            </w:r>
          </w:p>
        </w:tc>
        <w:tc>
          <w:tcPr>
            <w:tcW w:type="dxa" w:w="3600"/>
            <w:tcBorders>
              <w:top w:val="single" w:color="2E75B6" w:sz="4"/>
              <w:left w:val="single" w:color="2E75B6" w:sz="4"/>
              <w:bottom w:val="single" w:color="2E75B6" w:sz="4"/>
              <w:right w:val="single" w:color="2E75B6" w:sz="4"/>
            </w:tcBorders>
            <w:shd w:fill="1E4D8C"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Description</w:t>
            </w:r>
          </w:p>
        </w:tc>
        <w:tc>
          <w:tcPr>
            <w:tcW w:type="dxa" w:w="1200"/>
            <w:tcBorders>
              <w:top w:val="single" w:color="2E75B6" w:sz="4"/>
              <w:left w:val="single" w:color="2E75B6" w:sz="4"/>
              <w:bottom w:val="single" w:color="2E75B6" w:sz="4"/>
              <w:right w:val="single" w:color="2E75B6" w:sz="4"/>
            </w:tcBorders>
            <w:shd w:fill="1E4D8C"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Effort</w:t>
            </w:r>
          </w:p>
        </w:tc>
        <w:tc>
          <w:tcPr>
            <w:tcW w:type="dxa" w:w="1760"/>
            <w:tcBorders>
              <w:top w:val="single" w:color="2E75B6" w:sz="4"/>
              <w:left w:val="single" w:color="2E75B6" w:sz="4"/>
              <w:bottom w:val="single" w:color="2E75B6" w:sz="4"/>
              <w:right w:val="single" w:color="2E75B6" w:sz="4"/>
            </w:tcBorders>
            <w:shd w:fill="1E4D8C"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Cost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Task 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SOUL.md Definition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Write the SOUL.md files for Stinkmeaner and Julius agents. Define personality parameters (Aggression, Patience, Greed, Fear, Contrarianism), operational boundaries, and communication protocols.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3–4 days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Free (your existing agent design)</w:t>
            </w:r>
          </w:p>
        </w:tc>
      </w:tr>
      <w:tr>
        <w:tc>
          <w:tcPr>
            <w:tcW w:type="dxa" w:w="8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Task 2</w:t>
            </w:r>
          </w:p>
        </w:tc>
        <w:tc>
          <w:tcPr>
            <w:tcW w:type="dxa" w:w="20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SKILL.yaml Package</w:t>
            </w:r>
          </w:p>
        </w:tc>
        <w:tc>
          <w:tcPr>
            <w:tcW w:type="dxa" w:w="36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Extract the trading logic from the existing Python script into a SKILL.yaml package. This is the first ClawHub-publishable skill.</w:t>
            </w:r>
          </w:p>
        </w:tc>
        <w:tc>
          <w:tcPr>
            <w:tcW w:type="dxa" w:w="12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2–3 days</w:t>
            </w:r>
          </w:p>
        </w:tc>
        <w:tc>
          <w:tcPr>
            <w:tcW w:type="dxa" w:w="176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Free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Task 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MEMORY.md Spec</w:t>
            </w:r>
          </w:p>
        </w:tc>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Define the memory architecture: vector DB schema (Qdrant), conversation summaries, trade outcome logs. Migrate existing data.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2–3 days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Free (Qdrant free tier)</w:t>
            </w:r>
          </w:p>
        </w:tc>
      </w:tr>
      <w:tr>
        <w:tc>
          <w:tcPr>
            <w:tcW w:type="dxa" w:w="8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Task 4</w:t>
            </w:r>
          </w:p>
        </w:tc>
        <w:tc>
          <w:tcPr>
            <w:tcW w:type="dxa" w:w="20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OpenClaw Runtime v0.1</w:t>
            </w:r>
          </w:p>
        </w:tc>
        <w:tc>
          <w:tcPr>
            <w:tcW w:type="dxa" w:w="36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Write the minimal Python/Rust runtime that loads SOUL, SKILL, and MEMORY components and runs the swarm. This is the OpenClaw Core alpha.</w:t>
            </w:r>
          </w:p>
        </w:tc>
        <w:tc>
          <w:tcPr>
            <w:tcW w:type="dxa" w:w="12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1–2 weeks</w:t>
            </w:r>
          </w:p>
        </w:tc>
        <w:tc>
          <w:tcPr>
            <w:tcW w:type="dxa" w:w="176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Free</w:t>
            </w:r>
          </w:p>
        </w:tc>
      </w:tr>
    </w:tbl>
    <w:p>
      <w:pPr>
        <w:spacing w:before="0" w:after="0"/>
      </w:pPr>
      <w:r>
        <w:t xml:space="preserve"/>
      </w:r>
    </w:p>
    <w:p>
      <w:pPr>
        <w:pStyle w:val="Heading2"/>
        <w:spacing w:before="280" w:after="140"/>
      </w:pPr>
      <w:r>
        <w:rPr>
          <w:rFonts w:ascii="Arial" w:cs="Arial" w:eastAsia="Arial" w:hAnsi="Arial"/>
          <w:b/>
          <w:bCs/>
          <w:color w:val="1E4D8C"/>
          <w:sz w:val="26"/>
          <w:szCs w:val="26"/>
        </w:rPr>
        <w:t xml:space="preserve">2.3  The NSF SBIR Phase I Application — Your $275,000 Target</w:t>
      </w:r>
    </w:p>
    <w:p>
      <w:pPr>
        <w:spacing w:before="80" w:after="120"/>
        <w:jc w:val="both"/>
      </w:pPr>
      <w:r>
        <w:rPr>
          <w:rFonts w:ascii="Arial" w:cs="Arial" w:eastAsia="Arial" w:hAnsi="Arial"/>
          <w:b w:val="false"/>
          <w:bCs w:val="false"/>
          <w:i w:val="false"/>
          <w:iCs w:val="false"/>
          <w:color w:val="1B2A4A"/>
          <w:sz w:val="22"/>
          <w:szCs w:val="22"/>
        </w:rPr>
        <w:t xml:space="preserve">NSF SBIR Phase I provides up to $275,000 in non-dilutive grant funding for small businesses conducting R&amp;D with commercial potential. You qualify. The application window is continuous (rolling deadlines). Based on your existing pitch structure and the MACNN-RLS research documentation, you have more than enough material to write a competitive application.</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F3E8FF" w:val="clear"/>
            <w:tcMar>
              <w:top w:type="dxa" w:w="120"/>
              <w:left w:type="dxa" w:w="200"/>
              <w:bottom w:type="dxa" w:w="120"/>
              <w:right w:type="dxa" w:w="200"/>
            </w:tcMar>
          </w:tcPr>
          <w:p>
            <w:pPr>
              <w:spacing w:before="0" w:after="40"/>
            </w:pPr>
            <w:r>
              <w:rPr>
                <w:rFonts w:ascii="Arial" w:cs="Arial" w:eastAsia="Arial" w:hAnsi="Arial"/>
                <w:b/>
                <w:bCs/>
                <w:color w:val="3B0764"/>
                <w:sz w:val="22"/>
                <w:szCs w:val="22"/>
              </w:rPr>
              <w:t xml:space="preserve">NSF SBIR Phase I: Key Facts</w:t>
            </w:r>
          </w:p>
          <w:p>
            <w:pPr>
              <w:spacing w:before="0" w:after="0"/>
            </w:pPr>
            <w:r>
              <w:rPr>
                <w:rFonts w:ascii="Arial" w:cs="Arial" w:eastAsia="Arial" w:hAnsi="Arial"/>
                <w:color w:val="1B2A4A"/>
                <w:sz w:val="21"/>
                <w:szCs w:val="21"/>
              </w:rPr>
              <w:t xml:space="preserve">Grant amount: Up to $275,000 (Phase I) + $1,000,000 (Phase II)
Eligibility: US-based small business, PI must be a primary employee
R&amp;D focus requirement: 67% of R&amp;D work must be done by the small business
Timeline: 12 months from award to complete Phase I
Success rate: ~22% acceptance (highly competitive but achievable with strong technical foundation)
No equity dilution: This is not an investment. You keep 100% ownership.
Deadline cadence: Check seedfund.nsf.gov for current solicitation windows</w:t>
            </w:r>
          </w:p>
        </w:tc>
      </w:tr>
    </w:tbl>
    <w:p>
      <w:pPr>
        <w:spacing w:before="0" w:after="0"/>
      </w:pPr>
      <w:r>
        <w:t xml:space="preserve"/>
      </w:r>
    </w:p>
    <w:p>
      <w:pPr>
        <w:pStyle w:val="Heading3"/>
        <w:spacing w:before="200" w:after="100"/>
      </w:pPr>
      <w:r>
        <w:rPr>
          <w:rFonts w:ascii="Arial" w:cs="Arial" w:eastAsia="Arial" w:hAnsi="Arial"/>
          <w:b/>
          <w:bCs/>
          <w:color w:val="2E75B6"/>
          <w:sz w:val="22"/>
          <w:szCs w:val="22"/>
        </w:rPr>
        <w:t xml:space="preserve">2.3.1  Your NSF Application Outline</w:t>
      </w:r>
    </w:p>
    <w:p>
      <w:pPr>
        <w:spacing w:before="80" w:after="120"/>
        <w:jc w:val="both"/>
      </w:pPr>
      <w:r>
        <w:rPr>
          <w:rFonts w:ascii="Arial" w:cs="Arial" w:eastAsia="Arial" w:hAnsi="Arial"/>
          <w:b w:val="false"/>
          <w:bCs w:val="false"/>
          <w:i w:val="false"/>
          <w:iCs w:val="false"/>
          <w:color w:val="1B2A4A"/>
          <w:sz w:val="22"/>
          <w:szCs w:val="22"/>
        </w:rPr>
        <w:t xml:space="preserve">Based on the pitch structure documents and the MACNN-RLS research, here is your competitive application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4400"/>
        <w:gridCol w:w="2560"/>
      </w:tblGrid>
      <w:tr>
        <w:trPr>
          <w:tblHeader/>
        </w:trPr>
        <w:tc>
          <w:tcPr>
            <w:tcW w:type="dxa" w:w="800"/>
            <w:tcBorders>
              <w:top w:val="single" w:color="2E75B6" w:sz="4"/>
              <w:left w:val="single" w:color="2E75B6" w:sz="4"/>
              <w:bottom w:val="single" w:color="2E75B6" w:sz="4"/>
              <w:right w:val="single" w:color="2E75B6" w:sz="4"/>
            </w:tcBorders>
            <w:shd w:fill="1E4D8C"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w:t>
            </w:r>
          </w:p>
        </w:tc>
        <w:tc>
          <w:tcPr>
            <w:tcW w:type="dxa" w:w="1600"/>
            <w:tcBorders>
              <w:top w:val="single" w:color="2E75B6" w:sz="4"/>
              <w:left w:val="single" w:color="2E75B6" w:sz="4"/>
              <w:bottom w:val="single" w:color="2E75B6" w:sz="4"/>
              <w:right w:val="single" w:color="2E75B6" w:sz="4"/>
            </w:tcBorders>
            <w:shd w:fill="1E4D8C"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Section</w:t>
            </w:r>
          </w:p>
        </w:tc>
        <w:tc>
          <w:tcPr>
            <w:tcW w:type="dxa" w:w="4400"/>
            <w:tcBorders>
              <w:top w:val="single" w:color="2E75B6" w:sz="4"/>
              <w:left w:val="single" w:color="2E75B6" w:sz="4"/>
              <w:bottom w:val="single" w:color="2E75B6" w:sz="4"/>
              <w:right w:val="single" w:color="2E75B6" w:sz="4"/>
            </w:tcBorders>
            <w:shd w:fill="1E4D8C"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Content</w:t>
            </w:r>
          </w:p>
        </w:tc>
        <w:tc>
          <w:tcPr>
            <w:tcW w:type="dxa" w:w="2560"/>
            <w:tcBorders>
              <w:top w:val="single" w:color="2E75B6" w:sz="4"/>
              <w:left w:val="single" w:color="2E75B6" w:sz="4"/>
              <w:bottom w:val="single" w:color="2E75B6" w:sz="4"/>
              <w:right w:val="single" w:color="2E75B6" w:sz="4"/>
            </w:tcBorders>
            <w:shd w:fill="1E4D8C"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Source Material</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Section 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Executive Summary</w:t>
            </w:r>
          </w:p>
        </w:tc>
        <w:tc>
          <w:tcPr>
            <w:tcW w:type="dxa" w:w="4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One paragraph: multi-agent AI governance is the #1 enterprise AI failure mode; Hydra/OpenClaw solves it with Byzantine fault-tolerant, neurobiologically-grounded agent swarms; commercial target is financial services and healthcare compliance.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Completed in existing docs</w:t>
            </w:r>
          </w:p>
        </w:tc>
      </w:tr>
      <w:tr>
        <w:tc>
          <w:tcPr>
            <w:tcW w:type="dxa" w:w="8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Section 2</w:t>
            </w:r>
          </w:p>
        </w:tc>
        <w:tc>
          <w:tcPr>
            <w:tcW w:type="dxa" w:w="16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Intellectual Merit</w:t>
            </w:r>
          </w:p>
        </w:tc>
        <w:tc>
          <w:tcPr>
            <w:tcW w:type="dxa" w:w="44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Novel contribution: OMEGA ROOT governance kernel as the first implementation of biologically-inspired autonomous system boundaries; PMP-based ideomotor synergy formation in agent action planning; TFPF brain connectivity metrics applied to agent state monitoring.</w:t>
            </w:r>
          </w:p>
        </w:tc>
        <w:tc>
          <w:tcPr>
            <w:tcW w:type="dxa" w:w="256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Use MACNN-RLS research</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Section 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Broader Impacts</w:t>
            </w:r>
          </w:p>
        </w:tc>
        <w:tc>
          <w:tcPr>
            <w:tcW w:type="dxa" w:w="4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Auditable AI infrastructure applicable to regulated industries (SEC, GDPR, HIPAA); reduces AI hallucination risk in high-stakes decisions; open-source OpenClaw Core enables SMB access to enterprise-grade AI governance.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OpenClaw roadmap</w:t>
            </w:r>
          </w:p>
        </w:tc>
      </w:tr>
      <w:tr>
        <w:tc>
          <w:tcPr>
            <w:tcW w:type="dxa" w:w="8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Section 4</w:t>
            </w:r>
          </w:p>
        </w:tc>
        <w:tc>
          <w:tcPr>
            <w:tcW w:type="dxa" w:w="16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Technical Objectives</w:t>
            </w:r>
          </w:p>
        </w:tc>
        <w:tc>
          <w:tcPr>
            <w:tcW w:type="dxa" w:w="44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Obj 1: Achieve &gt;95% wolfpack detection accuracy on 30-day simulated market data. Obj 2: Sub-100ms Evolution Engine RL update latency. Obj 3: Demonstrate Byzantine fault tolerance maintaining &gt;90% decision accuracy with 33% agent failure rate.</w:t>
            </w:r>
          </w:p>
        </w:tc>
        <w:tc>
          <w:tcPr>
            <w:tcW w:type="dxa" w:w="256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Hydra benchmark data</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Section 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Commercialization Plan</w:t>
            </w:r>
          </w:p>
        </w:tc>
        <w:tc>
          <w:tcPr>
            <w:tcW w:type="dxa" w:w="4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Phase I: 3 paid enterprise pilots ($15K–$50K each). Phase II: OpenClaw SaaS at $2,500/month per swarm. Market: $4.2B enterprise AI governance market by 2027.</w:t>
            </w:r>
          </w:p>
        </w:tc>
        <w:tc>
          <w:tcPr>
            <w:tcW w:type="dxa" w:w="2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Revenue model below</w:t>
            </w:r>
          </w:p>
        </w:tc>
      </w:tr>
      <w:tr>
        <w:tc>
          <w:tcPr>
            <w:tcW w:type="dxa" w:w="8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Section 6</w:t>
            </w:r>
          </w:p>
        </w:tc>
        <w:tc>
          <w:tcPr>
            <w:tcW w:type="dxa" w:w="16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PI Qualifications</w:t>
            </w:r>
          </w:p>
        </w:tc>
        <w:tc>
          <w:tcPr>
            <w:tcW w:type="dxa" w:w="44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Your multi-agent architecture development experience, existing system deployment, documented research synthesis (MACNN-RLS v1–3), and technical publications/documentation.</w:t>
            </w:r>
          </w:p>
        </w:tc>
        <w:tc>
          <w:tcPr>
            <w:tcW w:type="dxa" w:w="256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Your portfolio</w:t>
            </w:r>
          </w:p>
        </w:tc>
      </w:tr>
    </w:tbl>
    <w:p>
      <w:pPr>
        <w:spacing w:before="0" w:after="0"/>
      </w:pPr>
      <w:r>
        <w:t xml:space="preserve"/>
      </w:r>
    </w:p>
    <w:p>
      <w:pPr>
        <w:pStyle w:val="Heading2"/>
        <w:spacing w:before="280" w:after="140"/>
      </w:pPr>
      <w:r>
        <w:rPr>
          <w:rFonts w:ascii="Arial" w:cs="Arial" w:eastAsia="Arial" w:hAnsi="Arial"/>
          <w:b/>
          <w:bCs/>
          <w:color w:val="1E4D8C"/>
          <w:sz w:val="26"/>
          <w:szCs w:val="26"/>
        </w:rPr>
        <w:t xml:space="preserve">2.4  Additional Grant Sources — Illinois-Specific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1400"/>
        <w:gridCol w:w="2360"/>
      </w:tblGrid>
      <w:tr>
        <w:trPr>
          <w:tblHeader/>
        </w:trPr>
        <w:tc>
          <w:tcPr>
            <w:tcW w:type="dxa" w:w="2800"/>
            <w:tcBorders>
              <w:top w:val="single" w:color="2E75B6" w:sz="4"/>
              <w:left w:val="single" w:color="2E75B6" w:sz="4"/>
              <w:bottom w:val="single" w:color="2E75B6" w:sz="4"/>
              <w:right w:val="single" w:color="2E75B6" w:sz="4"/>
            </w:tcBorders>
            <w:shd w:fill="1E4D8C"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Source</w:t>
            </w:r>
          </w:p>
        </w:tc>
        <w:tc>
          <w:tcPr>
            <w:tcW w:type="dxa" w:w="2800"/>
            <w:tcBorders>
              <w:top w:val="single" w:color="2E75B6" w:sz="4"/>
              <w:left w:val="single" w:color="2E75B6" w:sz="4"/>
              <w:bottom w:val="single" w:color="2E75B6" w:sz="4"/>
              <w:right w:val="single" w:color="2E75B6" w:sz="4"/>
            </w:tcBorders>
            <w:shd w:fill="1E4D8C"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Description</w:t>
            </w:r>
          </w:p>
        </w:tc>
        <w:tc>
          <w:tcPr>
            <w:tcW w:type="dxa" w:w="1400"/>
            <w:tcBorders>
              <w:top w:val="single" w:color="2E75B6" w:sz="4"/>
              <w:left w:val="single" w:color="2E75B6" w:sz="4"/>
              <w:bottom w:val="single" w:color="2E75B6" w:sz="4"/>
              <w:right w:val="single" w:color="2E75B6" w:sz="4"/>
            </w:tcBorders>
            <w:shd w:fill="1E4D8C"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Deadline Cadence</w:t>
            </w:r>
          </w:p>
        </w:tc>
        <w:tc>
          <w:tcPr>
            <w:tcW w:type="dxa" w:w="2360"/>
            <w:tcBorders>
              <w:top w:val="single" w:color="2E75B6" w:sz="4"/>
              <w:left w:val="single" w:color="2E75B6" w:sz="4"/>
              <w:bottom w:val="single" w:color="2E75B6" w:sz="4"/>
              <w:right w:val="single" w:color="2E75B6" w:sz="4"/>
            </w:tcBorders>
            <w:shd w:fill="1E4D8C"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Action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Illinois DCEO EDGE Tax Credit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Illinois Dept. of Commerce and Economic Opportunity; tax credit for job creation and capital investment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Ongoing</w:t>
            </w:r>
          </w:p>
        </w:tc>
        <w:tc>
          <w:tcPr>
            <w:tcW w:type="dxa" w:w="2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Apply after first hire; file with annual taxes</w:t>
            </w:r>
          </w:p>
        </w:tc>
      </w:tr>
      <w:tr>
        <w:tc>
          <w:tcPr>
            <w:tcW w:type="dxa" w:w="28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Illinois SBDC Emerging Technology Grant</w:t>
            </w:r>
          </w:p>
        </w:tc>
        <w:tc>
          <w:tcPr>
            <w:tcW w:type="dxa" w:w="28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$25K–$50K for technology startups; administered through SBDCs</w:t>
            </w:r>
          </w:p>
        </w:tc>
        <w:tc>
          <w:tcPr>
            <w:tcW w:type="dxa" w:w="14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Biannual</w:t>
            </w:r>
          </w:p>
        </w:tc>
        <w:tc>
          <w:tcPr>
            <w:tcW w:type="dxa" w:w="236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Contact Governors State Univ. SBDC immediately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CDFI/Community Development Loans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Illinois-based CDFIs (Accion, Chicago Community Loan Fund) offer 0–3% loans to early-stage businesses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Rolling</w:t>
            </w:r>
          </w:p>
        </w:tc>
        <w:tc>
          <w:tcPr>
            <w:tcW w:type="dxa" w:w="2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Apply after 3 months of revenue history</w:t>
            </w:r>
          </w:p>
        </w:tc>
      </w:tr>
      <w:tr>
        <w:tc>
          <w:tcPr>
            <w:tcW w:type="dxa" w:w="28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DOE SBIR/STTR</w:t>
            </w:r>
          </w:p>
        </w:tc>
        <w:tc>
          <w:tcPr>
            <w:tcW w:type="dxa" w:w="28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Department of Energy SBIR for AI in energy grid management; aligns with your neuromorphic computing work</w:t>
            </w:r>
          </w:p>
        </w:tc>
        <w:tc>
          <w:tcPr>
            <w:tcW w:type="dxa" w:w="14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2x per year</w:t>
            </w:r>
          </w:p>
        </w:tc>
        <w:tc>
          <w:tcPr>
            <w:tcW w:type="dxa" w:w="236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Parallel track to NSF application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DARPA SBIR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Defense Advanced Research Projects Agency; highest funding ($1M+) but most competitive; aligns with multi-agent autonomous systems research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Annual</w:t>
            </w:r>
          </w:p>
        </w:tc>
        <w:tc>
          <w:tcPr>
            <w:tcW w:type="dxa" w:w="2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18–24 month preparation; start documentation now</w:t>
            </w:r>
          </w:p>
        </w:tc>
      </w:tr>
      <w:tr>
        <w:tc>
          <w:tcPr>
            <w:tcW w:type="dxa" w:w="28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Argonne National Laboratory Collaboration</w:t>
            </w:r>
          </w:p>
        </w:tc>
        <w:tc>
          <w:tcPr>
            <w:tcW w:type="dxa" w:w="28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Chain Innovation via Argonne's Chain Reaction Innovations program; 2-year residency + $250K in lab resources</w:t>
            </w:r>
          </w:p>
        </w:tc>
        <w:tc>
          <w:tcPr>
            <w:tcW w:type="dxa" w:w="14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Annual cohort</w:t>
            </w:r>
          </w:p>
        </w:tc>
        <w:tc>
          <w:tcPr>
            <w:tcW w:type="dxa" w:w="236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Apply for next cohort; Argonne is in Lemont, IL — 10 miles from Tinley Park</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FFF3CD" w:val="clear"/>
            <w:tcMar>
              <w:top w:type="dxa" w:w="140"/>
              <w:left w:type="dxa" w:w="200"/>
              <w:bottom w:type="dxa" w:w="140"/>
              <w:right w:type="dxa" w:w="200"/>
            </w:tcMar>
          </w:tcPr>
          <w:p>
            <w:pPr>
              <w:spacing w:before="0" w:after="0"/>
            </w:pPr>
            <w:r>
              <w:rPr>
                <w:rFonts w:ascii="Arial" w:cs="Arial" w:eastAsia="Arial" w:hAnsi="Arial"/>
                <w:i w:val="false"/>
                <w:iCs w:val="false"/>
                <w:color w:val="7B3F00"/>
                <w:sz w:val="21"/>
                <w:szCs w:val="21"/>
              </w:rPr>
              <w:t xml:space="preserve">Argonne National Laboratory's Chain Reaction Innovations program is your highest-value near-term target outside NSF SBIR. It provides lab access, $250K in resources, and mentor network — with zero equity dilution. The application requires a working prototype, which the Hydra demo provides. Lemont, IL is literally 10 miles from Tinley Park.</w:t>
            </w:r>
          </w:p>
        </w:tc>
      </w:tr>
    </w:tbl>
    <w:p>
      <w:pPr>
        <w:spacing w:before="0" w:after="0"/>
      </w:pPr>
      <w:r>
        <w:t xml:space="preserve"/>
      </w:r>
    </w:p>
    <w:p>
      <w:pPr>
        <w:pBdr>
          <w:bottom w:val="single" w:color="2E75B6" w:sz="3" w:space="2"/>
        </w:pBdr>
        <w:spacing w:before="120" w:after="120"/>
      </w:pPr>
      <w:r>
        <w:t xml:space="preserve"/>
      </w:r>
    </w:p>
    <w:p>
      <w:pPr>
        <w:pStyle w:val="Heading1"/>
        <w:pBdr>
          <w:bottom w:val="single" w:color="2E75B6" w:sz="6" w:space="1"/>
        </w:pBdr>
        <w:spacing w:before="360" w:after="180"/>
      </w:pPr>
      <w:r>
        <w:rPr>
          <w:rFonts w:ascii="Arial" w:cs="Arial" w:eastAsia="Arial" w:hAnsi="Arial"/>
          <w:b/>
          <w:bCs/>
          <w:color w:val="1B2A4A"/>
          <w:sz w:val="34"/>
          <w:szCs w:val="34"/>
        </w:rPr>
        <w:t xml:space="preserve">Part 3: The OpenClaw Revenue Architecture</w:t>
      </w:r>
    </w:p>
    <w:p>
      <w:pPr>
        <w:pStyle w:val="Heading2"/>
        <w:spacing w:before="280" w:after="140"/>
      </w:pPr>
      <w:r>
        <w:rPr>
          <w:rFonts w:ascii="Arial" w:cs="Arial" w:eastAsia="Arial" w:hAnsi="Arial"/>
          <w:b/>
          <w:bCs/>
          <w:color w:val="1E4D8C"/>
          <w:sz w:val="26"/>
          <w:szCs w:val="26"/>
        </w:rPr>
        <w:t xml:space="preserve">3.1  The Four Revenue Streams</w:t>
      </w:r>
    </w:p>
    <w:p>
      <w:pPr>
        <w:spacing w:before="80" w:after="120"/>
        <w:jc w:val="both"/>
      </w:pPr>
      <w:r>
        <w:rPr>
          <w:rFonts w:ascii="Arial" w:cs="Arial" w:eastAsia="Arial" w:hAnsi="Arial"/>
          <w:b w:val="false"/>
          <w:bCs w:val="false"/>
          <w:i w:val="false"/>
          <w:iCs w:val="false"/>
          <w:color w:val="1B2A4A"/>
          <w:sz w:val="22"/>
          <w:szCs w:val="22"/>
        </w:rPr>
        <w:t xml:space="preserve">The OpenClaw roadmap identifies four revenue streams. Here is the realistic timeline and dollar amounts for each, starting from zero: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1400"/>
        <w:gridCol w:w="1400"/>
        <w:gridCol w:w="2400"/>
        <w:gridCol w:w="1360"/>
      </w:tblGrid>
      <w:tr>
        <w:trPr>
          <w:tblHeader/>
        </w:trPr>
        <w:tc>
          <w:tcPr>
            <w:tcW w:type="dxa" w:w="800"/>
            <w:tcBorders>
              <w:top w:val="single" w:color="2E75B6" w:sz="4"/>
              <w:left w:val="single" w:color="2E75B6" w:sz="4"/>
              <w:bottom w:val="single" w:color="2E75B6" w:sz="4"/>
              <w:right w:val="single" w:color="2E75B6" w:sz="4"/>
            </w:tcBorders>
            <w:shd w:fill="1E4D8C"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w:t>
            </w:r>
          </w:p>
        </w:tc>
        <w:tc>
          <w:tcPr>
            <w:tcW w:type="dxa" w:w="2000"/>
            <w:tcBorders>
              <w:top w:val="single" w:color="2E75B6" w:sz="4"/>
              <w:left w:val="single" w:color="2E75B6" w:sz="4"/>
              <w:bottom w:val="single" w:color="2E75B6" w:sz="4"/>
              <w:right w:val="single" w:color="2E75B6" w:sz="4"/>
            </w:tcBorders>
            <w:shd w:fill="1E4D8C"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Stream</w:t>
            </w:r>
          </w:p>
        </w:tc>
        <w:tc>
          <w:tcPr>
            <w:tcW w:type="dxa" w:w="1400"/>
            <w:tcBorders>
              <w:top w:val="single" w:color="2E75B6" w:sz="4"/>
              <w:left w:val="single" w:color="2E75B6" w:sz="4"/>
              <w:bottom w:val="single" w:color="2E75B6" w:sz="4"/>
              <w:right w:val="single" w:color="2E75B6" w:sz="4"/>
            </w:tcBorders>
            <w:shd w:fill="1E4D8C"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Start</w:t>
            </w:r>
          </w:p>
        </w:tc>
        <w:tc>
          <w:tcPr>
            <w:tcW w:type="dxa" w:w="1400"/>
            <w:tcBorders>
              <w:top w:val="single" w:color="2E75B6" w:sz="4"/>
              <w:left w:val="single" w:color="2E75B6" w:sz="4"/>
              <w:bottom w:val="single" w:color="2E75B6" w:sz="4"/>
              <w:right w:val="single" w:color="2E75B6" w:sz="4"/>
            </w:tcBorders>
            <w:shd w:fill="1E4D8C"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Amount</w:t>
            </w:r>
          </w:p>
        </w:tc>
        <w:tc>
          <w:tcPr>
            <w:tcW w:type="dxa" w:w="2400"/>
            <w:tcBorders>
              <w:top w:val="single" w:color="2E75B6" w:sz="4"/>
              <w:left w:val="single" w:color="2E75B6" w:sz="4"/>
              <w:bottom w:val="single" w:color="2E75B6" w:sz="4"/>
              <w:right w:val="single" w:color="2E75B6" w:sz="4"/>
            </w:tcBorders>
            <w:shd w:fill="1E4D8C"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Mechanism</w:t>
            </w:r>
          </w:p>
        </w:tc>
        <w:tc>
          <w:tcPr>
            <w:tcW w:type="dxa" w:w="1360"/>
            <w:tcBorders>
              <w:top w:val="single" w:color="2E75B6" w:sz="4"/>
              <w:left w:val="single" w:color="2E75B6" w:sz="4"/>
              <w:bottom w:val="single" w:color="2E75B6" w:sz="4"/>
              <w:right w:val="single" w:color="2E75B6" w:sz="4"/>
            </w:tcBorders>
            <w:shd w:fill="1E4D8C"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Activation Trigger</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Stream 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Consulting Services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Days 1–90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$5K–$30K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AI architecture audits, multi-agent design sprints, strategy workshops</w:t>
            </w:r>
          </w:p>
        </w:tc>
        <w:tc>
          <w:tcPr>
            <w:tcW w:type="dxa" w:w="1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Immediate: LinkedIn outreach, Upwork, direct network</w:t>
            </w:r>
          </w:p>
        </w:tc>
      </w:tr>
      <w:tr>
        <w:tc>
          <w:tcPr>
            <w:tcW w:type="dxa" w:w="8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Stream 2</w:t>
            </w:r>
          </w:p>
        </w:tc>
        <w:tc>
          <w:tcPr>
            <w:tcW w:type="dxa" w:w="20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Enterprise Pilot Contracts</w:t>
            </w:r>
          </w:p>
        </w:tc>
        <w:tc>
          <w:tcPr>
            <w:tcW w:type="dxa" w:w="14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Days 60–180</w:t>
            </w:r>
          </w:p>
        </w:tc>
        <w:tc>
          <w:tcPr>
            <w:tcW w:type="dxa" w:w="14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$15K–$50K per pilot</w:t>
            </w:r>
          </w:p>
        </w:tc>
        <w:tc>
          <w:tcPr>
            <w:tcW w:type="dxa" w:w="24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Deploy Hydra/OpenClaw for 1–3 paying enterprise clients</w:t>
            </w:r>
          </w:p>
        </w:tc>
        <w:tc>
          <w:tcPr>
            <w:tcW w:type="dxa" w:w="136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Hydra demo as sales tool; NSF application as credibility signal</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Stream 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NSF SBIR Phase I Grant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Days 90–270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$275K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Non-dilutive R&amp;D funding</w:t>
            </w:r>
          </w:p>
        </w:tc>
        <w:tc>
          <w:tcPr>
            <w:tcW w:type="dxa" w:w="1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Apply at Day 60 using Hydra benchmark data</w:t>
            </w:r>
          </w:p>
        </w:tc>
      </w:tr>
      <w:tr>
        <w:tc>
          <w:tcPr>
            <w:tcW w:type="dxa" w:w="8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Stream 4</w:t>
            </w:r>
          </w:p>
        </w:tc>
        <w:tc>
          <w:tcPr>
            <w:tcW w:type="dxa" w:w="20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OpenClaw SaaS + ClawHub</w:t>
            </w:r>
          </w:p>
        </w:tc>
        <w:tc>
          <w:tcPr>
            <w:tcW w:type="dxa" w:w="14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Days 180–365</w:t>
            </w:r>
          </w:p>
        </w:tc>
        <w:tc>
          <w:tcPr>
            <w:tcW w:type="dxa" w:w="14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$2,500/swarm/month</w:t>
            </w:r>
          </w:p>
        </w:tc>
        <w:tc>
          <w:tcPr>
            <w:tcW w:type="dxa" w:w="24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OpenClaw Enterprise Manager licensing + ClawHub transaction fees</w:t>
            </w:r>
          </w:p>
        </w:tc>
        <w:tc>
          <w:tcPr>
            <w:tcW w:type="dxa" w:w="136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Open-source Core launch creates inbound; paying clients convert to SaaS</w:t>
            </w:r>
          </w:p>
        </w:tc>
      </w:tr>
    </w:tbl>
    <w:p>
      <w:pPr>
        <w:spacing w:before="0" w:after="0"/>
      </w:pPr>
      <w:r>
        <w:t xml:space="preserve"/>
      </w:r>
    </w:p>
    <w:p>
      <w:pPr>
        <w:pStyle w:val="Heading2"/>
        <w:spacing w:before="280" w:after="140"/>
      </w:pPr>
      <w:r>
        <w:rPr>
          <w:rFonts w:ascii="Arial" w:cs="Arial" w:eastAsia="Arial" w:hAnsi="Arial"/>
          <w:b/>
          <w:bCs/>
          <w:color w:val="1E4D8C"/>
          <w:sz w:val="26"/>
          <w:szCs w:val="26"/>
        </w:rPr>
        <w:t xml:space="preserve">3.2  12-Month Revenue Projection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400"/>
        <w:gridCol w:w="1400"/>
        <w:gridCol w:w="1400"/>
        <w:gridCol w:w="1560"/>
      </w:tblGrid>
      <w:tr>
        <w:trPr>
          <w:tblHeader/>
        </w:trPr>
        <w:tc>
          <w:tcPr>
            <w:tcW w:type="dxa" w:w="1200"/>
            <w:tcBorders>
              <w:top w:val="single" w:color="2E75B6" w:sz="4"/>
              <w:left w:val="single" w:color="2E75B6" w:sz="4"/>
              <w:bottom w:val="single" w:color="2E75B6" w:sz="4"/>
              <w:right w:val="single" w:color="2E75B6" w:sz="4"/>
            </w:tcBorders>
            <w:shd w:fill="1E4D8C"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Month</w:t>
            </w:r>
          </w:p>
        </w:tc>
        <w:tc>
          <w:tcPr>
            <w:tcW w:type="dxa" w:w="3400"/>
            <w:tcBorders>
              <w:top w:val="single" w:color="2E75B6" w:sz="4"/>
              <w:left w:val="single" w:color="2E75B6" w:sz="4"/>
              <w:bottom w:val="single" w:color="2E75B6" w:sz="4"/>
              <w:right w:val="single" w:color="2E75B6" w:sz="4"/>
            </w:tcBorders>
            <w:shd w:fill="1E4D8C"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Primary Activity</w:t>
            </w:r>
          </w:p>
        </w:tc>
        <w:tc>
          <w:tcPr>
            <w:tcW w:type="dxa" w:w="1400"/>
            <w:tcBorders>
              <w:top w:val="single" w:color="2E75B6" w:sz="4"/>
              <w:left w:val="single" w:color="2E75B6" w:sz="4"/>
              <w:bottom w:val="single" w:color="2E75B6" w:sz="4"/>
              <w:right w:val="single" w:color="2E75B6" w:sz="4"/>
            </w:tcBorders>
            <w:shd w:fill="1E4D8C"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Revenue</w:t>
            </w:r>
          </w:p>
        </w:tc>
        <w:tc>
          <w:tcPr>
            <w:tcW w:type="dxa" w:w="1400"/>
            <w:tcBorders>
              <w:top w:val="single" w:color="2E75B6" w:sz="4"/>
              <w:left w:val="single" w:color="2E75B6" w:sz="4"/>
              <w:bottom w:val="single" w:color="2E75B6" w:sz="4"/>
              <w:right w:val="single" w:color="2E75B6" w:sz="4"/>
            </w:tcBorders>
            <w:shd w:fill="1E4D8C"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Cumulative</w:t>
            </w:r>
          </w:p>
        </w:tc>
        <w:tc>
          <w:tcPr>
            <w:tcW w:type="dxa" w:w="1400"/>
            <w:tcBorders>
              <w:top w:val="single" w:color="2E75B6" w:sz="4"/>
              <w:left w:val="single" w:color="2E75B6" w:sz="4"/>
              <w:bottom w:val="single" w:color="2E75B6" w:sz="4"/>
              <w:right w:val="single" w:color="2E75B6" w:sz="4"/>
            </w:tcBorders>
            <w:shd w:fill="1E4D8C"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Expenses</w:t>
            </w:r>
          </w:p>
        </w:tc>
        <w:tc>
          <w:tcPr>
            <w:tcW w:type="dxa" w:w="1560"/>
            <w:tcBorders>
              <w:top w:val="single" w:color="2E75B6" w:sz="4"/>
              <w:left w:val="single" w:color="2E75B6" w:sz="4"/>
              <w:bottom w:val="single" w:color="2E75B6" w:sz="4"/>
              <w:right w:val="single" w:color="2E75B6" w:sz="4"/>
            </w:tcBorders>
            <w:shd w:fill="1E4D8C"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Net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Month 1</w:t>
            </w:r>
          </w:p>
        </w:tc>
        <w:tc>
          <w:tcPr>
            <w:tcW w:type="dxa" w:w="3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Consulting: 1 audit + 1 workshop</w:t>
            </w:r>
          </w:p>
        </w:tc>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$5,500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$5,500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$150 (LLC)</w:t>
            </w:r>
          </w:p>
        </w:tc>
        <w:tc>
          <w:tcPr>
            <w:tcW w:type="dxa" w:w="1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$5,350</w:t>
            </w:r>
          </w:p>
        </w:tc>
      </w:tr>
      <w:tr>
        <w:tc>
          <w:tcPr>
            <w:tcW w:type="dxa" w:w="12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Month 2</w:t>
            </w:r>
          </w:p>
        </w:tc>
        <w:tc>
          <w:tcPr>
            <w:tcW w:type="dxa" w:w="34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Consulting: 2 engagements</w:t>
            </w:r>
          </w:p>
        </w:tc>
        <w:tc>
          <w:tcPr>
            <w:tcW w:type="dxa" w:w="14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$12,000</w:t>
            </w:r>
          </w:p>
        </w:tc>
        <w:tc>
          <w:tcPr>
            <w:tcW w:type="dxa" w:w="14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$17,500</w:t>
            </w:r>
          </w:p>
        </w:tc>
        <w:tc>
          <w:tcPr>
            <w:tcW w:type="dxa" w:w="14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$0</w:t>
            </w:r>
          </w:p>
        </w:tc>
        <w:tc>
          <w:tcPr>
            <w:tcW w:type="dxa" w:w="156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$12,000</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Month 3</w:t>
            </w:r>
          </w:p>
        </w:tc>
        <w:tc>
          <w:tcPr>
            <w:tcW w:type="dxa" w:w="3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Consulting: 1 design sprint + NSF application submitted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$8,000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$25,500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$8,000</w:t>
            </w:r>
          </w:p>
        </w:tc>
      </w:tr>
      <w:tr>
        <w:tc>
          <w:tcPr>
            <w:tcW w:type="dxa" w:w="12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Month 4</w:t>
            </w:r>
          </w:p>
        </w:tc>
        <w:tc>
          <w:tcPr>
            <w:tcW w:type="dxa" w:w="34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Enterprise pilot #1 signed ($15K, 50% upfront)</w:t>
            </w:r>
          </w:p>
        </w:tc>
        <w:tc>
          <w:tcPr>
            <w:tcW w:type="dxa" w:w="14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$7,500</w:t>
            </w:r>
          </w:p>
        </w:tc>
        <w:tc>
          <w:tcPr>
            <w:tcW w:type="dxa" w:w="14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$33,000</w:t>
            </w:r>
          </w:p>
        </w:tc>
        <w:tc>
          <w:tcPr>
            <w:tcW w:type="dxa" w:w="14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API costs ~$200</w:t>
            </w:r>
          </w:p>
        </w:tc>
        <w:tc>
          <w:tcPr>
            <w:tcW w:type="dxa" w:w="156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$7,300</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Month 5</w:t>
            </w:r>
          </w:p>
        </w:tc>
        <w:tc>
          <w:tcPr>
            <w:tcW w:type="dxa" w:w="3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Enterprise pilot #1 delivery + pilot #2 negotiation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$7,500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$40,500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$200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$7,300</w:t>
            </w:r>
          </w:p>
        </w:tc>
      </w:tr>
      <w:tr>
        <w:tc>
          <w:tcPr>
            <w:tcW w:type="dxa" w:w="12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Month 6</w:t>
            </w:r>
          </w:p>
        </w:tc>
        <w:tc>
          <w:tcPr>
            <w:tcW w:type="dxa" w:w="34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OpenClaw Core open-source launch + pilot #2 signed</w:t>
            </w:r>
          </w:p>
        </w:tc>
        <w:tc>
          <w:tcPr>
            <w:tcW w:type="dxa" w:w="14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$20,000</w:t>
            </w:r>
          </w:p>
        </w:tc>
        <w:tc>
          <w:tcPr>
            <w:tcW w:type="dxa" w:w="14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$60,500</w:t>
            </w:r>
          </w:p>
        </w:tc>
        <w:tc>
          <w:tcPr>
            <w:tcW w:type="dxa" w:w="14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$500 (hosting)</w:t>
            </w:r>
          </w:p>
        </w:tc>
        <w:tc>
          <w:tcPr>
            <w:tcW w:type="dxa" w:w="156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$19,500</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Month 7–9</w:t>
            </w:r>
          </w:p>
        </w:tc>
        <w:tc>
          <w:tcPr>
            <w:tcW w:type="dxa" w:w="3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NSF SBIR Phase I award (if accepted) + pilot #3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$95,000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$155,500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$2,000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$93,000</w:t>
            </w:r>
          </w:p>
        </w:tc>
      </w:tr>
      <w:tr>
        <w:tc>
          <w:tcPr>
            <w:tcW w:type="dxa" w:w="12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Month 10–12</w:t>
            </w:r>
          </w:p>
        </w:tc>
        <w:tc>
          <w:tcPr>
            <w:tcW w:type="dxa" w:w="34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First SaaS contracts + ClawHub beta</w:t>
            </w:r>
          </w:p>
        </w:tc>
        <w:tc>
          <w:tcPr>
            <w:tcW w:type="dxa" w:w="14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$45,000</w:t>
            </w:r>
          </w:p>
        </w:tc>
        <w:tc>
          <w:tcPr>
            <w:tcW w:type="dxa" w:w="14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$200,500</w:t>
            </w:r>
          </w:p>
        </w:tc>
        <w:tc>
          <w:tcPr>
            <w:tcW w:type="dxa" w:w="14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$5,000</w:t>
            </w:r>
          </w:p>
        </w:tc>
        <w:tc>
          <w:tcPr>
            <w:tcW w:type="dxa" w:w="156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$40,000</w:t>
            </w:r>
          </w:p>
        </w:tc>
      </w:tr>
    </w:tbl>
    <w:p>
      <w:pPr>
        <w:spacing w:before="0" w:after="0"/>
      </w:pPr>
      <w:r>
        <w:t xml:space="preserve"/>
      </w:r>
    </w:p>
    <w:p>
      <w:pPr>
        <w:spacing w:before="80" w:after="120"/>
        <w:jc w:val="both"/>
      </w:pPr>
      <w:r>
        <w:rPr>
          <w:rFonts w:ascii="Arial" w:cs="Arial" w:eastAsia="Arial" w:hAnsi="Arial"/>
          <w:b w:val="false"/>
          <w:bCs w:val="false"/>
          <w:i w:val="false"/>
          <w:iCs w:val="false"/>
          <w:color w:val="1B2A4A"/>
          <w:sz w:val="22"/>
          <w:szCs w:val="22"/>
        </w:rPr>
        <w:t xml:space="preserve">Note: NSF award is probabilistic (~22% acceptance rate). The revenue model is viable without it — the grant accelerates Phase 2 product development but is not required to reach profitability. Conservative 12-month total without NSF: ~$125,000. With NSF: ~$200,000+.</w:t>
      </w:r>
    </w:p>
    <w:p>
      <w:pPr>
        <w:pStyle w:val="Heading2"/>
        <w:spacing w:before="280" w:after="140"/>
      </w:pPr>
      <w:r>
        <w:rPr>
          <w:rFonts w:ascii="Arial" w:cs="Arial" w:eastAsia="Arial" w:hAnsi="Arial"/>
          <w:b/>
          <w:bCs/>
          <w:color w:val="1E4D8C"/>
          <w:sz w:val="26"/>
          <w:szCs w:val="26"/>
        </w:rPr>
        <w:t xml:space="preserve">3.3  The OpenClaw Pricing Architecture</w:t>
      </w:r>
    </w:p>
    <w:p>
      <w:pPr>
        <w:pStyle w:val="Heading3"/>
        <w:spacing w:before="200" w:after="100"/>
      </w:pPr>
      <w:r>
        <w:rPr>
          <w:rFonts w:ascii="Arial" w:cs="Arial" w:eastAsia="Arial" w:hAnsi="Arial"/>
          <w:b/>
          <w:bCs/>
          <w:color w:val="2E75B6"/>
          <w:sz w:val="22"/>
          <w:szCs w:val="22"/>
        </w:rPr>
        <w:t xml:space="preserve">OpenClaw Core: Apache 2.0 Free</w:t>
      </w:r>
    </w:p>
    <w:p>
      <w:pPr>
        <w:spacing w:before="80" w:after="120"/>
        <w:jc w:val="both"/>
      </w:pPr>
      <w:r>
        <w:rPr>
          <w:rFonts w:ascii="Arial" w:cs="Arial" w:eastAsia="Arial" w:hAnsi="Arial"/>
          <w:b w:val="false"/>
          <w:bCs w:val="false"/>
          <w:i w:val="false"/>
          <w:iCs w:val="false"/>
          <w:color w:val="1B2A4A"/>
          <w:sz w:val="22"/>
          <w:szCs w:val="22"/>
        </w:rPr>
        <w:t xml:space="preserve">The runtime, SOUL/MEMORY/SKILL specifications, and basic swarm orchestration are free and open-source. This is the 'Red Hat move' from your roadmap — ubiquity creates the market that the enterprise product monetizes. Distribution via GitHub and a Discord community seeded by your MACNN-RLS research documentation.</w:t>
      </w:r>
    </w:p>
    <w:p>
      <w:pPr>
        <w:pStyle w:val="Heading3"/>
        <w:spacing w:before="200" w:after="100"/>
      </w:pPr>
      <w:r>
        <w:rPr>
          <w:rFonts w:ascii="Arial" w:cs="Arial" w:eastAsia="Arial" w:hAnsi="Arial"/>
          <w:b/>
          <w:bCs/>
          <w:color w:val="2E75B6"/>
          <w:sz w:val="22"/>
          <w:szCs w:val="22"/>
        </w:rPr>
        <w:t xml:space="preserve">OpenClaw Enterprise Manager: $2,500/month per swarm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400"/>
        <w:gridCol w:w="2960"/>
      </w:tblGrid>
      <w:tr>
        <w:trPr>
          <w:tblHeader/>
        </w:trPr>
        <w:tc>
          <w:tcPr>
            <w:tcW w:type="dxa" w:w="3000"/>
            <w:tcBorders>
              <w:top w:val="single" w:color="2E75B6" w:sz="4"/>
              <w:left w:val="single" w:color="2E75B6" w:sz="4"/>
              <w:bottom w:val="single" w:color="2E75B6" w:sz="4"/>
              <w:right w:val="single" w:color="2E75B6" w:sz="4"/>
            </w:tcBorders>
            <w:shd w:fill="1E4D8C"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Feature</w:t>
            </w:r>
          </w:p>
        </w:tc>
        <w:tc>
          <w:tcPr>
            <w:tcW w:type="dxa" w:w="3400"/>
            <w:tcBorders>
              <w:top w:val="single" w:color="2E75B6" w:sz="4"/>
              <w:left w:val="single" w:color="2E75B6" w:sz="4"/>
              <w:bottom w:val="single" w:color="2E75B6" w:sz="4"/>
              <w:right w:val="single" w:color="2E75B6" w:sz="4"/>
            </w:tcBorders>
            <w:shd w:fill="1E4D8C"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Description</w:t>
            </w:r>
          </w:p>
        </w:tc>
        <w:tc>
          <w:tcPr>
            <w:tcW w:type="dxa" w:w="2960"/>
            <w:tcBorders>
              <w:top w:val="single" w:color="2E75B6" w:sz="4"/>
              <w:left w:val="single" w:color="2E75B6" w:sz="4"/>
              <w:bottom w:val="single" w:color="2E75B6" w:sz="4"/>
              <w:right w:val="single" w:color="2E75B6" w:sz="4"/>
            </w:tcBorders>
            <w:shd w:fill="1E4D8C"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Enterprise Value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Black Box Recorder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Immutable audit log of every agent thought and action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SOC 2 Type II, SEC, GDPR compliance documentation</w:t>
            </w:r>
          </w:p>
        </w:tc>
      </w:tr>
      <w:tr>
        <w:tc>
          <w:tcPr>
            <w:tcW w:type="dxa" w:w="30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RBAC (Role-Based Access Control)</w:t>
            </w:r>
          </w:p>
        </w:tc>
        <w:tc>
          <w:tcPr>
            <w:tcW w:type="dxa" w:w="34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Fine-grained permissions: which agent can spend money, read email, execute trades</w:t>
            </w:r>
          </w:p>
        </w:tc>
        <w:tc>
          <w:tcPr>
            <w:tcW w:type="dxa" w:w="296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Required for financial services and healthcare deployments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Guardrails API</w:t>
            </w:r>
          </w:p>
        </w:tc>
        <w:tc>
          <w:tcPr>
            <w:tcW w:type="dxa" w:w="3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Pre-flight LLM output validation; hallucination detection using OMEGA ROOT principles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Reduces liability exposure for enterprise clients</w:t>
            </w:r>
          </w:p>
        </w:tc>
      </w:tr>
      <w:tr>
        <w:tc>
          <w:tcPr>
            <w:tcW w:type="dxa" w:w="30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Swarm Orchestrator</w:t>
            </w:r>
          </w:p>
        </w:tc>
        <w:tc>
          <w:tcPr>
            <w:tcW w:type="dxa" w:w="34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Kubernetes-native agent lifecycle management for 100+ agent deployments</w:t>
            </w:r>
          </w:p>
        </w:tc>
        <w:tc>
          <w:tcPr>
            <w:tcW w:type="dxa" w:w="296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Operations teams can manage large deployments without custom engineering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SLA + Support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99.9% uptime guarantee, 4-hour response SLA, dedicated CSM</w:t>
            </w:r>
          </w:p>
        </w:tc>
        <w:tc>
          <w:tcPr>
            <w:tcW w:type="dxa" w:w="2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Required for Fortune 500 procurement approval</w:t>
            </w:r>
          </w:p>
        </w:tc>
      </w:tr>
    </w:tbl>
    <w:p>
      <w:pPr>
        <w:spacing w:before="0" w:after="0"/>
      </w:pPr>
      <w:r>
        <w:t xml:space="preserve"/>
      </w:r>
    </w:p>
    <w:p>
      <w:pPr>
        <w:pStyle w:val="Heading3"/>
        <w:spacing w:before="200" w:after="100"/>
      </w:pPr>
      <w:r>
        <w:rPr>
          <w:rFonts w:ascii="Arial" w:cs="Arial" w:eastAsia="Arial" w:hAnsi="Arial"/>
          <w:b/>
          <w:bCs/>
          <w:color w:val="2E75B6"/>
          <w:sz w:val="22"/>
          <w:szCs w:val="22"/>
        </w:rPr>
        <w:t xml:space="preserve">ClawHub: Transaction Fee Model</w:t>
      </w:r>
    </w:p>
    <w:p>
      <w:pPr>
        <w:pStyle w:val="ListParagraph"/>
        <w:numPr>
          <w:ilvl w:val="0"/>
          <w:numId w:val="2"/>
        </w:numPr>
        <w:spacing w:before="60" w:after="60"/>
      </w:pPr>
      <w:r>
        <w:rPr>
          <w:rFonts w:ascii="Arial" w:cs="Arial" w:eastAsia="Arial" w:hAnsi="Arial"/>
          <w:color w:val="1B2A4A"/>
          <w:sz w:val="22"/>
          <w:szCs w:val="22"/>
        </w:rPr>
        <w:t xml:space="preserve">Free to publish Skills and Agent templates as a developer</w:t>
      </w:r>
    </w:p>
    <w:p>
      <w:pPr>
        <w:pStyle w:val="ListParagraph"/>
        <w:numPr>
          <w:ilvl w:val="0"/>
          <w:numId w:val="2"/>
        </w:numPr>
        <w:spacing w:before="60" w:after="60"/>
      </w:pPr>
      <w:r>
        <w:rPr>
          <w:rFonts w:ascii="Arial" w:cs="Arial" w:eastAsia="Arial" w:hAnsi="Arial"/>
          <w:color w:val="1B2A4A"/>
          <w:sz w:val="22"/>
          <w:szCs w:val="22"/>
        </w:rPr>
        <w:t xml:space="preserve">5% transaction fee on paid Skills (e.g., a trading SKILL.yaml package sold at $99/month generates $4.95/transaction)</w:t>
      </w:r>
    </w:p>
    <w:p>
      <w:pPr>
        <w:pStyle w:val="ListParagraph"/>
        <w:numPr>
          <w:ilvl w:val="0"/>
          <w:numId w:val="2"/>
        </w:numPr>
        <w:spacing w:before="60" w:after="60"/>
      </w:pPr>
      <w:r>
        <w:rPr>
          <w:rFonts w:ascii="Arial" w:cs="Arial" w:eastAsia="Arial" w:hAnsi="Arial"/>
          <w:color w:val="1B2A4A"/>
          <w:sz w:val="22"/>
          <w:szCs w:val="22"/>
        </w:rPr>
        <w:t xml:space="preserve">Premium listing placement: $50/month for featured position</w:t>
      </w:r>
    </w:p>
    <w:p>
      <w:pPr>
        <w:pStyle w:val="ListParagraph"/>
        <w:numPr>
          <w:ilvl w:val="0"/>
          <w:numId w:val="2"/>
        </w:numPr>
        <w:spacing w:before="60" w:after="60"/>
      </w:pPr>
      <w:r>
        <w:rPr>
          <w:rFonts w:ascii="Arial" w:cs="Arial" w:eastAsia="Arial" w:hAnsi="Arial"/>
          <w:color w:val="1B2A4A"/>
          <w:sz w:val="22"/>
          <w:szCs w:val="22"/>
        </w:rPr>
        <w:t xml:space="preserve">Certification program: $500 for ClawHub 'Verified' badge (human review + automated testing)</w:t>
      </w:r>
    </w:p>
    <w:p>
      <w:pPr>
        <w:spacing w:before="0" w:after="0"/>
      </w:pPr>
      <w:r>
        <w:t xml:space="preserve"/>
      </w:r>
    </w:p>
    <w:p>
      <w:pPr>
        <w:pStyle w:val="Heading3"/>
        <w:spacing w:before="200" w:after="100"/>
      </w:pPr>
      <w:r>
        <w:rPr>
          <w:rFonts w:ascii="Arial" w:cs="Arial" w:eastAsia="Arial" w:hAnsi="Arial"/>
          <w:b/>
          <w:bCs/>
          <w:color w:val="2E75B6"/>
          <w:sz w:val="22"/>
          <w:szCs w:val="22"/>
        </w:rPr>
        <w:t xml:space="preserve">Support Contracts: $15,000–60,000/year</w:t>
      </w:r>
    </w:p>
    <w:p>
      <w:pPr>
        <w:spacing w:before="80" w:after="120"/>
        <w:jc w:val="both"/>
      </w:pPr>
      <w:r>
        <w:rPr>
          <w:rFonts w:ascii="Arial" w:cs="Arial" w:eastAsia="Arial" w:hAnsi="Arial"/>
          <w:b w:val="false"/>
          <w:bCs w:val="false"/>
          <w:i w:val="false"/>
          <w:iCs w:val="false"/>
          <w:color w:val="1B2A4A"/>
          <w:sz w:val="22"/>
          <w:szCs w:val="22"/>
        </w:rPr>
        <w:t xml:space="preserve">Annual support contracts for large deployments. Includes dedicated Slack channel, quarterly architecture reviews, priority bug fixes, and custom SOUL/SKILL development. Target: 3 contracts by end of Year 1.</w:t>
      </w:r>
    </w:p>
    <w:p>
      <w:pPr>
        <w:pStyle w:val="Heading2"/>
        <w:spacing w:before="280" w:after="140"/>
      </w:pPr>
      <w:r>
        <w:rPr>
          <w:rFonts w:ascii="Arial" w:cs="Arial" w:eastAsia="Arial" w:hAnsi="Arial"/>
          <w:b/>
          <w:bCs/>
          <w:color w:val="1E4D8C"/>
          <w:sz w:val="26"/>
          <w:szCs w:val="26"/>
        </w:rPr>
        <w:t xml:space="preserve">3.4  The Pilot Contract Template</w:t>
      </w:r>
    </w:p>
    <w:p>
      <w:pPr>
        <w:spacing w:before="80" w:after="120"/>
        <w:jc w:val="both"/>
      </w:pPr>
      <w:r>
        <w:rPr>
          <w:rFonts w:ascii="Arial" w:cs="Arial" w:eastAsia="Arial" w:hAnsi="Arial"/>
          <w:b w:val="false"/>
          <w:bCs w:val="false"/>
          <w:i w:val="false"/>
          <w:iCs w:val="false"/>
          <w:color w:val="1B2A4A"/>
          <w:sz w:val="22"/>
          <w:szCs w:val="22"/>
        </w:rPr>
        <w:t xml:space="preserve">Every enterprise pilot has the same structure. This is the deal you are closing in Months 4–6: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34E4A" w:sz="1"/>
              <w:left w:val="single" w:color="134E4A" w:sz="1"/>
              <w:bottom w:val="single" w:color="134E4A" w:sz="1"/>
              <w:right w:val="single" w:color="134E4A" w:sz="1"/>
            </w:tcBorders>
            <w:shd w:fill="CCFBF1" w:val="clear"/>
            <w:tcMar>
              <w:top w:type="dxa" w:w="120"/>
              <w:left w:type="dxa" w:w="200"/>
              <w:bottom w:type="dxa" w:w="120"/>
              <w:right w:type="dxa" w:w="200"/>
            </w:tcMar>
          </w:tcPr>
          <w:p>
            <w:pPr>
              <w:spacing w:before="0" w:after="40"/>
            </w:pPr>
            <w:r>
              <w:rPr>
                <w:rFonts w:ascii="Arial" w:cs="Arial" w:eastAsia="Arial" w:hAnsi="Arial"/>
                <w:b/>
                <w:bCs/>
                <w:color w:val="134E4A"/>
                <w:sz w:val="22"/>
                <w:szCs w:val="22"/>
              </w:rPr>
              <w:t xml:space="preserve">Standard Pilot Contract Structure</w:t>
            </w:r>
          </w:p>
          <w:p>
            <w:pPr>
              <w:spacing w:before="0" w:after="0"/>
            </w:pPr>
            <w:r>
              <w:rPr>
                <w:rFonts w:ascii="Arial" w:cs="Arial" w:eastAsia="Arial" w:hAnsi="Arial"/>
                <w:color w:val="1B2A4A"/>
                <w:sz w:val="21"/>
                <w:szCs w:val="21"/>
              </w:rPr>
              <w:t xml:space="preserve">Duration: 60 days
Scope: Deploy a 5–10 agent OpenClaw swarm for one specific business process (e.g., financial risk monitoring, compliance document review, customer support triage)
Deliverables: (1) Working system in their environment; (2) Performance benchmark report; (3) OMEGA ROOT governance configuration; (4) Transition documentation
Price: $15,000–$25,000 fixed fee
Payment: 50% upfront ($7,500–$12,500 on signing), 50% on delivery
Conversion: 60-day pilots convert to OpenClaw Enterprise Manager at $2,500/month
Contractual protection: You retain IP; client gets perpetual license to their deployment configuration only</w:t>
            </w:r>
          </w:p>
        </w:tc>
      </w:tr>
    </w:tbl>
    <w:p>
      <w:pPr>
        <w:spacing w:before="0" w:after="0"/>
      </w:pPr>
      <w:r>
        <w:t xml:space="preserve"/>
      </w:r>
    </w:p>
    <w:p>
      <w:pPr>
        <w:pBdr>
          <w:bottom w:val="single" w:color="2E75B6" w:sz="3" w:space="2"/>
        </w:pBdr>
        <w:spacing w:before="120" w:after="120"/>
      </w:pPr>
      <w:r>
        <w:t xml:space="preserve"/>
      </w:r>
    </w:p>
    <w:p>
      <w:pPr>
        <w:pStyle w:val="Heading1"/>
        <w:pBdr>
          <w:bottom w:val="single" w:color="2E75B6" w:sz="6" w:space="1"/>
        </w:pBdr>
        <w:spacing w:before="360" w:after="180"/>
      </w:pPr>
      <w:r>
        <w:rPr>
          <w:rFonts w:ascii="Arial" w:cs="Arial" w:eastAsia="Arial" w:hAnsi="Arial"/>
          <w:b/>
          <w:bCs/>
          <w:color w:val="1B2A4A"/>
          <w:sz w:val="34"/>
          <w:szCs w:val="34"/>
        </w:rPr>
        <w:t xml:space="preserve">Part 4: Building the OpenClaw Community (Cost: $0)</w:t>
      </w:r>
    </w:p>
    <w:p>
      <w:pPr>
        <w:pStyle w:val="Heading2"/>
        <w:spacing w:before="280" w:after="140"/>
      </w:pPr>
      <w:r>
        <w:rPr>
          <w:rFonts w:ascii="Arial" w:cs="Arial" w:eastAsia="Arial" w:hAnsi="Arial"/>
          <w:b/>
          <w:bCs/>
          <w:color w:val="1E4D8C"/>
          <w:sz w:val="26"/>
          <w:szCs w:val="26"/>
        </w:rPr>
        <w:t xml:space="preserve">4.1  The GitHub Launch Strategy</w:t>
      </w:r>
    </w:p>
    <w:p>
      <w:pPr>
        <w:spacing w:before="80" w:after="120"/>
        <w:jc w:val="both"/>
      </w:pPr>
      <w:r>
        <w:rPr>
          <w:rFonts w:ascii="Arial" w:cs="Arial" w:eastAsia="Arial" w:hAnsi="Arial"/>
          <w:b w:val="false"/>
          <w:bCs w:val="false"/>
          <w:i w:val="false"/>
          <w:iCs w:val="false"/>
          <w:color w:val="1B2A4A"/>
          <w:sz w:val="22"/>
          <w:szCs w:val="22"/>
        </w:rPr>
        <w:t xml:space="preserve">The OpenClaw Core GitHub repository is your primary distribution channel and your primary credibility signal. The launch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4800"/>
        <w:gridCol w:w="960"/>
      </w:tblGrid>
      <w:tr>
        <w:trPr>
          <w:tblHeader/>
        </w:trPr>
        <w:tc>
          <w:tcPr>
            <w:tcW w:type="dxa" w:w="1200"/>
            <w:tcBorders>
              <w:top w:val="single" w:color="2E75B6" w:sz="4"/>
              <w:left w:val="single" w:color="2E75B6" w:sz="4"/>
              <w:bottom w:val="single" w:color="2E75B6" w:sz="4"/>
              <w:right w:val="single" w:color="2E75B6" w:sz="4"/>
            </w:tcBorders>
            <w:shd w:fill="1E4D8C"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Timeline</w:t>
            </w:r>
          </w:p>
        </w:tc>
        <w:tc>
          <w:tcPr>
            <w:tcW w:type="dxa" w:w="2400"/>
            <w:tcBorders>
              <w:top w:val="single" w:color="2E75B6" w:sz="4"/>
              <w:left w:val="single" w:color="2E75B6" w:sz="4"/>
              <w:bottom w:val="single" w:color="2E75B6" w:sz="4"/>
              <w:right w:val="single" w:color="2E75B6" w:sz="4"/>
            </w:tcBorders>
            <w:shd w:fill="1E4D8C"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Action</w:t>
            </w:r>
          </w:p>
        </w:tc>
        <w:tc>
          <w:tcPr>
            <w:tcW w:type="dxa" w:w="4800"/>
            <w:tcBorders>
              <w:top w:val="single" w:color="2E75B6" w:sz="4"/>
              <w:left w:val="single" w:color="2E75B6" w:sz="4"/>
              <w:bottom w:val="single" w:color="2E75B6" w:sz="4"/>
              <w:right w:val="single" w:color="2E75B6" w:sz="4"/>
            </w:tcBorders>
            <w:shd w:fill="1E4D8C"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Details</w:t>
            </w:r>
          </w:p>
        </w:tc>
        <w:tc>
          <w:tcPr>
            <w:tcW w:type="dxa" w:w="960"/>
            <w:tcBorders>
              <w:top w:val="single" w:color="2E75B6" w:sz="4"/>
              <w:left w:val="single" w:color="2E75B6" w:sz="4"/>
              <w:bottom w:val="single" w:color="2E75B6" w:sz="4"/>
              <w:right w:val="single" w:color="2E75B6" w:sz="4"/>
            </w:tcBorders>
            <w:shd w:fill="1E4D8C"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Cost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Week 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Create the repo</w:t>
            </w:r>
          </w:p>
        </w:tc>
        <w:tc>
          <w:tcPr>
            <w:tcW w:type="dxa" w:w="4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openclaw/openclaw-core on GitHub. Write a compelling README with architecture diagram, quick-start, and link to MACNN-RLS research. Star goal: 100 in first week.</w:t>
            </w:r>
          </w:p>
        </w:tc>
        <w:tc>
          <w:tcPr>
            <w:tcW w:type="dxa" w:w="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$0</w:t>
            </w:r>
          </w:p>
        </w:tc>
      </w:tr>
      <w:tr>
        <w:tc>
          <w:tcPr>
            <w:tcW w:type="dxa" w:w="12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Week 2</w:t>
            </w:r>
          </w:p>
        </w:tc>
        <w:tc>
          <w:tcPr>
            <w:tcW w:type="dxa" w:w="24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Post on Hacker News</w:t>
            </w:r>
          </w:p>
        </w:tc>
        <w:tc>
          <w:tcPr>
            <w:tcW w:type="dxa" w:w="48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'Show HN: OpenClaw — An open-source cognitive architecture for multi-agent AI swarms.' The MACNN-RLS research depth is your differentiator from every other agent framework.</w:t>
            </w:r>
          </w:p>
        </w:tc>
        <w:tc>
          <w:tcPr>
            <w:tcW w:type="dxa" w:w="96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$0</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Week 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Post on Reddit</w:t>
            </w:r>
          </w:p>
        </w:tc>
        <w:tc>
          <w:tcPr>
            <w:tcW w:type="dxa" w:w="4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r/MachineLearning, r/LocalLLaMA, r/AIAgents. Focus on the OMEGA ROOT governance kernel and Byzantine fault tolerance — these are genuinely novel.</w:t>
            </w:r>
          </w:p>
        </w:tc>
        <w:tc>
          <w:tcPr>
            <w:tcW w:type="dxa" w:w="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$0</w:t>
            </w:r>
          </w:p>
        </w:tc>
      </w:tr>
      <w:tr>
        <w:tc>
          <w:tcPr>
            <w:tcW w:type="dxa" w:w="12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Week 4</w:t>
            </w:r>
          </w:p>
        </w:tc>
        <w:tc>
          <w:tcPr>
            <w:tcW w:type="dxa" w:w="24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Submit to awesome-agents lists</w:t>
            </w:r>
          </w:p>
        </w:tc>
        <w:tc>
          <w:tcPr>
            <w:tcW w:type="dxa" w:w="48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GitHub lists like awesome-agents, awesome-llm, awesome-autonomous-agents. These generate sustained organic traffic.</w:t>
            </w:r>
          </w:p>
        </w:tc>
        <w:tc>
          <w:tcPr>
            <w:tcW w:type="dxa" w:w="96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$0</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Month 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First external contribution</w:t>
            </w:r>
          </w:p>
        </w:tc>
        <w:tc>
          <w:tcPr>
            <w:tcW w:type="dxa" w:w="4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Design the CONTRIBUTING.md so the first community contribution can be a SOUL.md template for a specific domain (e.g., customer service, code review).</w:t>
            </w:r>
          </w:p>
        </w:tc>
        <w:tc>
          <w:tcPr>
            <w:tcW w:type="dxa" w:w="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$0</w:t>
            </w:r>
          </w:p>
        </w:tc>
      </w:tr>
      <w:tr>
        <w:tc>
          <w:tcPr>
            <w:tcW w:type="dxa" w:w="12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Month 3</w:t>
            </w:r>
          </w:p>
        </w:tc>
        <w:tc>
          <w:tcPr>
            <w:tcW w:type="dxa" w:w="24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ClawHub alpha</w:t>
            </w:r>
          </w:p>
        </w:tc>
        <w:tc>
          <w:tcPr>
            <w:tcW w:type="dxa" w:w="48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Simple GitHub-based package registry. First five Skills are yours (trading, code review, document processing, customer service, compliance monitoring).</w:t>
            </w:r>
          </w:p>
        </w:tc>
        <w:tc>
          <w:tcPr>
            <w:tcW w:type="dxa" w:w="96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$0</w:t>
            </w:r>
          </w:p>
        </w:tc>
      </w:tr>
    </w:tbl>
    <w:p>
      <w:pPr>
        <w:spacing w:before="0" w:after="0"/>
      </w:pPr>
      <w:r>
        <w:t xml:space="preserve"/>
      </w:r>
    </w:p>
    <w:p>
      <w:pPr>
        <w:pStyle w:val="Heading2"/>
        <w:spacing w:before="280" w:after="140"/>
      </w:pPr>
      <w:r>
        <w:rPr>
          <w:rFonts w:ascii="Arial" w:cs="Arial" w:eastAsia="Arial" w:hAnsi="Arial"/>
          <w:b/>
          <w:bCs/>
          <w:color w:val="1E4D8C"/>
          <w:sz w:val="26"/>
          <w:szCs w:val="26"/>
        </w:rPr>
        <w:t xml:space="preserve">4.2  Content Strategy — Your Research as Marketing</w:t>
      </w:r>
    </w:p>
    <w:p>
      <w:pPr>
        <w:spacing w:before="80" w:after="120"/>
        <w:jc w:val="both"/>
      </w:pPr>
      <w:r>
        <w:rPr>
          <w:rFonts w:ascii="Arial" w:cs="Arial" w:eastAsia="Arial" w:hAnsi="Arial"/>
          <w:b w:val="false"/>
          <w:bCs w:val="false"/>
          <w:i w:val="false"/>
          <w:iCs w:val="false"/>
          <w:color w:val="1B2A4A"/>
          <w:sz w:val="22"/>
          <w:szCs w:val="22"/>
        </w:rPr>
        <w:t xml:space="preserve">The MACNN-RLS research documentation across v1–v3 is exceptionally strong academic content. Most AI companies do not have this. Use it:</w:t>
      </w:r>
    </w:p>
    <w:p>
      <w:pPr>
        <w:pStyle w:val="ListParagraph"/>
        <w:numPr>
          <w:ilvl w:val="0"/>
          <w:numId w:val="2"/>
        </w:numPr>
        <w:spacing w:before="60" w:after="60"/>
      </w:pPr>
      <w:r>
        <w:rPr>
          <w:rFonts w:ascii="Arial" w:cs="Arial" w:eastAsia="Arial" w:hAnsi="Arial"/>
          <w:color w:val="1B2A4A"/>
          <w:sz w:val="22"/>
          <w:szCs w:val="22"/>
        </w:rPr>
        <w:t xml:space="preserve">LinkedIn article series: 'Building Brain-Inspired AI' — 8-part series based on the six pillars. One article per week. Each article ends with a call to action for the OpenClaw GitHub or consulting inquiry.</w:t>
      </w:r>
    </w:p>
    <w:p>
      <w:pPr>
        <w:pStyle w:val="ListParagraph"/>
        <w:numPr>
          <w:ilvl w:val="0"/>
          <w:numId w:val="2"/>
        </w:numPr>
        <w:spacing w:before="60" w:after="60"/>
      </w:pPr>
      <w:r>
        <w:rPr>
          <w:rFonts w:ascii="Arial" w:cs="Arial" w:eastAsia="Arial" w:hAnsi="Arial"/>
          <w:color w:val="1B2A4A"/>
          <w:sz w:val="22"/>
          <w:szCs w:val="22"/>
        </w:rPr>
        <w:t xml:space="preserve">YouTube / Loom: 15-minute walkthroughs of Hydra telemetry. Show the agents actually working. Screen recordings are free to produce and generate inbound.</w:t>
      </w:r>
    </w:p>
    <w:p>
      <w:pPr>
        <w:pStyle w:val="ListParagraph"/>
        <w:numPr>
          <w:ilvl w:val="0"/>
          <w:numId w:val="2"/>
        </w:numPr>
        <w:spacing w:before="60" w:after="60"/>
      </w:pPr>
      <w:r>
        <w:rPr>
          <w:rFonts w:ascii="Arial" w:cs="Arial" w:eastAsia="Arial" w:hAnsi="Arial"/>
          <w:color w:val="1B2A4A"/>
          <w:sz w:val="22"/>
          <w:szCs w:val="22"/>
        </w:rPr>
        <w:t xml:space="preserve">arXiv preprint: Submit the MACNN-RLS v3.0 document as a preprint. This is a legitimate academic signal that strengthens the NSF SBIR intellectual merit section.</w:t>
      </w:r>
    </w:p>
    <w:p>
      <w:pPr>
        <w:pStyle w:val="ListParagraph"/>
        <w:numPr>
          <w:ilvl w:val="0"/>
          <w:numId w:val="2"/>
        </w:numPr>
        <w:spacing w:before="60" w:after="60"/>
      </w:pPr>
      <w:r>
        <w:rPr>
          <w:rFonts w:ascii="Arial" w:cs="Arial" w:eastAsia="Arial" w:hAnsi="Arial"/>
          <w:color w:val="1B2A4A"/>
          <w:sz w:val="22"/>
          <w:szCs w:val="22"/>
        </w:rPr>
        <w:t xml:space="preserve">Twitter/X threads: Daily short-form posts about multi-agent AI failures in the wild and how governance kernels prevent them. Tag relevant accounts.</w:t>
      </w:r>
    </w:p>
    <w:p>
      <w:pPr>
        <w:pStyle w:val="ListParagraph"/>
        <w:numPr>
          <w:ilvl w:val="0"/>
          <w:numId w:val="2"/>
        </w:numPr>
        <w:spacing w:before="60" w:after="60"/>
      </w:pPr>
      <w:r>
        <w:rPr>
          <w:rFonts w:ascii="Arial" w:cs="Arial" w:eastAsia="Arial" w:hAnsi="Arial"/>
          <w:color w:val="1B2A4A"/>
          <w:sz w:val="22"/>
          <w:szCs w:val="22"/>
        </w:rPr>
        <w:t xml:space="preserve">Podcast appearances: Pitch yourself to 'AI + Finance' and 'ML Engineering' podcasts. You have a genuinely interesting story: a solo founder in Tinley Park building enterprise AI infrastructure based on Wiener's cybernetics and Bernstein's motor theory.</w:t>
      </w:r>
    </w:p>
    <w:p>
      <w:pPr>
        <w:spacing w:before="0" w:after="0"/>
      </w:pPr>
      <w:r>
        <w:t xml:space="preserve"/>
      </w:r>
    </w:p>
    <w:p>
      <w:pPr>
        <w:pStyle w:val="Heading2"/>
        <w:spacing w:before="280" w:after="140"/>
      </w:pPr>
      <w:r>
        <w:rPr>
          <w:rFonts w:ascii="Arial" w:cs="Arial" w:eastAsia="Arial" w:hAnsi="Arial"/>
          <w:b/>
          <w:bCs/>
          <w:color w:val="1E4D8C"/>
          <w:sz w:val="26"/>
          <w:szCs w:val="26"/>
        </w:rPr>
        <w:t xml:space="preserve">4.3  Partnership and Distribution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560"/>
      </w:tblGrid>
      <w:tr>
        <w:trPr>
          <w:tblHeader/>
        </w:trPr>
        <w:tc>
          <w:tcPr>
            <w:tcW w:type="dxa" w:w="2400"/>
            <w:tcBorders>
              <w:top w:val="single" w:color="2E75B6" w:sz="4"/>
              <w:left w:val="single" w:color="2E75B6" w:sz="4"/>
              <w:bottom w:val="single" w:color="2E75B6" w:sz="4"/>
              <w:right w:val="single" w:color="2E75B6" w:sz="4"/>
            </w:tcBorders>
            <w:shd w:fill="1E4D8C"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Channel</w:t>
            </w:r>
          </w:p>
        </w:tc>
        <w:tc>
          <w:tcPr>
            <w:tcW w:type="dxa" w:w="4400"/>
            <w:tcBorders>
              <w:top w:val="single" w:color="2E75B6" w:sz="4"/>
              <w:left w:val="single" w:color="2E75B6" w:sz="4"/>
              <w:bottom w:val="single" w:color="2E75B6" w:sz="4"/>
              <w:right w:val="single" w:color="2E75B6" w:sz="4"/>
            </w:tcBorders>
            <w:shd w:fill="1E4D8C"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Description</w:t>
            </w:r>
          </w:p>
        </w:tc>
        <w:tc>
          <w:tcPr>
            <w:tcW w:type="dxa" w:w="2560"/>
            <w:tcBorders>
              <w:top w:val="single" w:color="2E75B6" w:sz="4"/>
              <w:left w:val="single" w:color="2E75B6" w:sz="4"/>
              <w:bottom w:val="single" w:color="2E75B6" w:sz="4"/>
              <w:right w:val="single" w:color="2E75B6" w:sz="4"/>
            </w:tcBorders>
            <w:shd w:fill="1E4D8C"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Timeline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AWS Marketplace</w:t>
            </w:r>
          </w:p>
        </w:tc>
        <w:tc>
          <w:tcPr>
            <w:tcW w:type="dxa" w:w="4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List OpenClaw Enterprise Manager as an AMI or SaaS product. AWS handles billing, compliance, and enterprise procurement. Zero cost to list; AWS takes 3–5% of revenue.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Apply during Month 6–9 when product is stable</w:t>
            </w:r>
          </w:p>
        </w:tc>
      </w:tr>
      <w:tr>
        <w:tc>
          <w:tcPr>
            <w:tcW w:type="dxa" w:w="24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Microsoft Azure Marketplace</w:t>
            </w:r>
          </w:p>
        </w:tc>
        <w:tc>
          <w:tcPr>
            <w:tcW w:type="dxa" w:w="44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Same as AWS. Azure is dominant in enterprise (Office 365 relationships). Strong fit for compliance-heavy clients.</w:t>
            </w:r>
          </w:p>
        </w:tc>
        <w:tc>
          <w:tcPr>
            <w:tcW w:type="dxa" w:w="256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Apply concurrent with AWS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Anthropic Partner Program</w:t>
            </w:r>
          </w:p>
        </w:tc>
        <w:tc>
          <w:tcPr>
            <w:tcW w:type="dxa" w:w="4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Claude is your likely default LLM backend. Anthropic has a partner program that provides technical support, co-marketing, and enterprise introductions.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Apply immediately — free to join</w:t>
            </w:r>
          </w:p>
        </w:tc>
      </w:tr>
      <w:tr>
        <w:tc>
          <w:tcPr>
            <w:tcW w:type="dxa" w:w="24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Hugging Face Hub</w:t>
            </w:r>
          </w:p>
        </w:tc>
        <w:tc>
          <w:tcPr>
            <w:tcW w:type="dxa" w:w="44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Publish SOUL templates and pre-configured swarm configurations on Hugging Face. 400M+ monthly users.</w:t>
            </w:r>
          </w:p>
        </w:tc>
        <w:tc>
          <w:tcPr>
            <w:tcW w:type="dxa" w:w="256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Month 3–6</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LangChain / LlamaIndex Integration</w:t>
            </w:r>
          </w:p>
        </w:tc>
        <w:tc>
          <w:tcPr>
            <w:tcW w:type="dxa" w:w="4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Write OpenClaw adapters for the two dominant agent frameworks. This routes their existing user base toward OpenClaw governance.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Month 4–7</w:t>
            </w:r>
          </w:p>
        </w:tc>
      </w:tr>
    </w:tbl>
    <w:p>
      <w:pPr>
        <w:spacing w:before="0" w:after="0"/>
      </w:pPr>
      <w:r>
        <w:t xml:space="preserve"/>
      </w:r>
    </w:p>
    <w:p>
      <w:pPr>
        <w:pBdr>
          <w:bottom w:val="single" w:color="2E75B6" w:sz="3" w:space="2"/>
        </w:pBdr>
        <w:spacing w:before="120" w:after="120"/>
      </w:pPr>
      <w:r>
        <w:t xml:space="preserve"/>
      </w:r>
    </w:p>
    <w:p>
      <w:pPr>
        <w:pStyle w:val="Heading1"/>
        <w:pBdr>
          <w:bottom w:val="single" w:color="2E75B6" w:sz="6" w:space="1"/>
        </w:pBdr>
        <w:spacing w:before="360" w:after="180"/>
      </w:pPr>
      <w:r>
        <w:rPr>
          <w:rFonts w:ascii="Arial" w:cs="Arial" w:eastAsia="Arial" w:hAnsi="Arial"/>
          <w:b/>
          <w:bCs/>
          <w:color w:val="1B2A4A"/>
          <w:sz w:val="34"/>
          <w:szCs w:val="34"/>
        </w:rPr>
        <w:t xml:space="preserve">Part 5: The Investor Path (Month 6–18)</w:t>
      </w:r>
    </w:p>
    <w:p>
      <w:pPr>
        <w:pStyle w:val="Heading2"/>
        <w:spacing w:before="280" w:after="140"/>
      </w:pPr>
      <w:r>
        <w:rPr>
          <w:rFonts w:ascii="Arial" w:cs="Arial" w:eastAsia="Arial" w:hAnsi="Arial"/>
          <w:b/>
          <w:bCs/>
          <w:color w:val="1E4D8C"/>
          <w:sz w:val="26"/>
          <w:szCs w:val="26"/>
        </w:rPr>
        <w:t xml:space="preserve">5.1  When to Raise and How Much</w:t>
      </w:r>
    </w:p>
    <w:p>
      <w:pPr>
        <w:spacing w:before="80" w:after="120"/>
        <w:jc w:val="both"/>
      </w:pPr>
      <w:r>
        <w:rPr>
          <w:rFonts w:ascii="Arial" w:cs="Arial" w:eastAsia="Arial" w:hAnsi="Arial"/>
          <w:b w:val="false"/>
          <w:bCs w:val="false"/>
          <w:i w:val="false"/>
          <w:iCs w:val="false"/>
          <w:color w:val="1B2A4A"/>
          <w:sz w:val="22"/>
          <w:szCs w:val="22"/>
        </w:rPr>
        <w:t xml:space="preserve">Do not raise money until you have at least two paid enterprise pilots, a working open-source repository with 500+ GitHub stars, and an NSF SBIR application submitted. At that point, you have a fundable story: revenue, traction, non-dilutive capital in pipeline, and a defensible technical foundation. Raising before this means giving away equity at the worst possible valuation.</w:t>
      </w:r>
    </w:p>
    <w:p>
      <w:pPr>
        <w:spacing w:before="80" w:after="120"/>
        <w:jc w:val="both"/>
      </w:pPr>
      <w:r>
        <w:rPr>
          <w:rFonts w:ascii="Arial" w:cs="Arial" w:eastAsia="Arial" w:hAnsi="Arial"/>
          <w:b w:val="false"/>
          <w:bCs w:val="false"/>
          <w:i w:val="false"/>
          <w:iCs w:val="false"/>
          <w:color w:val="1B2A4A"/>
          <w:sz w:val="22"/>
          <w:szCs w:val="22"/>
        </w:rPr>
        <w:t xml:space="preserve">Target round: $500K–$1.5M pre-seed at $5M–$8M pre-money valuation. This is realistic given the traction described above in the Chicago / Midwest deep-tech ecosystem.</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1800"/>
        <w:gridCol w:w="2360"/>
      </w:tblGrid>
      <w:tr>
        <w:trPr>
          <w:tblHeader/>
        </w:trPr>
        <w:tc>
          <w:tcPr>
            <w:tcW w:type="dxa" w:w="2400"/>
            <w:tcBorders>
              <w:top w:val="single" w:color="2E75B6" w:sz="4"/>
              <w:left w:val="single" w:color="2E75B6" w:sz="4"/>
              <w:bottom w:val="single" w:color="2E75B6" w:sz="4"/>
              <w:right w:val="single" w:color="2E75B6" w:sz="4"/>
            </w:tcBorders>
            <w:shd w:fill="1E4D8C"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Investor / Program</w:t>
            </w:r>
          </w:p>
        </w:tc>
        <w:tc>
          <w:tcPr>
            <w:tcW w:type="dxa" w:w="2800"/>
            <w:tcBorders>
              <w:top w:val="single" w:color="2E75B6" w:sz="4"/>
              <w:left w:val="single" w:color="2E75B6" w:sz="4"/>
              <w:bottom w:val="single" w:color="2E75B6" w:sz="4"/>
              <w:right w:val="single" w:color="2E75B6" w:sz="4"/>
            </w:tcBorders>
            <w:shd w:fill="1E4D8C"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Description</w:t>
            </w:r>
          </w:p>
        </w:tc>
        <w:tc>
          <w:tcPr>
            <w:tcW w:type="dxa" w:w="1800"/>
            <w:tcBorders>
              <w:top w:val="single" w:color="2E75B6" w:sz="4"/>
              <w:left w:val="single" w:color="2E75B6" w:sz="4"/>
              <w:bottom w:val="single" w:color="2E75B6" w:sz="4"/>
              <w:right w:val="single" w:color="2E75B6" w:sz="4"/>
            </w:tcBorders>
            <w:shd w:fill="1E4D8C"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Dilution</w:t>
            </w:r>
          </w:p>
        </w:tc>
        <w:tc>
          <w:tcPr>
            <w:tcW w:type="dxa" w:w="2360"/>
            <w:tcBorders>
              <w:top w:val="single" w:color="2E75B6" w:sz="4"/>
              <w:left w:val="single" w:color="2E75B6" w:sz="4"/>
              <w:bottom w:val="single" w:color="2E75B6" w:sz="4"/>
              <w:right w:val="single" w:color="2E75B6" w:sz="4"/>
            </w:tcBorders>
            <w:shd w:fill="1E4D8C"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Timing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Argonne Chain Reaction Innovations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$250K in resources + lab access + network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No equity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Apply now for next cohort; Lemont IL</w:t>
            </w:r>
          </w:p>
        </w:tc>
      </w:tr>
      <w:tr>
        <w:tc>
          <w:tcPr>
            <w:tcW w:type="dxa" w:w="24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DCVC (Data Collective)</w:t>
            </w:r>
          </w:p>
        </w:tc>
        <w:tc>
          <w:tcPr>
            <w:tcW w:type="dxa" w:w="28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Chicago-based, deep-tech focused VC; has funded enterprise AI infrastructure</w:t>
            </w:r>
          </w:p>
        </w:tc>
        <w:tc>
          <w:tcPr>
            <w:tcW w:type="dxa" w:w="18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Equity (target: &lt;10%)</w:t>
            </w:r>
          </w:p>
        </w:tc>
        <w:tc>
          <w:tcPr>
            <w:tcW w:type="dxa" w:w="236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After NSF SBIR award + 2 enterprise pilots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Valor Equity Partners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Chicago-based, strong in manufacturing and industrial AI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Equity (target: &lt;10%)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Month 12+</w:t>
            </w:r>
          </w:p>
        </w:tc>
      </w:tr>
      <w:tr>
        <w:tc>
          <w:tcPr>
            <w:tcW w:type="dxa" w:w="24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Illinois Ventures / UI Labs</w:t>
            </w:r>
          </w:p>
        </w:tc>
        <w:tc>
          <w:tcPr>
            <w:tcW w:type="dxa" w:w="28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University of Illinois investment arm; $100K–$500K for IL-based tech startups</w:t>
            </w:r>
          </w:p>
        </w:tc>
        <w:tc>
          <w:tcPr>
            <w:tcW w:type="dxa" w:w="18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Equity or convertible note</w:t>
            </w:r>
          </w:p>
        </w:tc>
        <w:tc>
          <w:tcPr>
            <w:tcW w:type="dxa" w:w="236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Month 9+; connects to U of I research partnerships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Techstars Chicago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Accelerator: $120K for 6% equity + network; Demo Day connects to 10,000+ investors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6% equity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Apply for spring cohort; strong enterprise AI focus</w:t>
            </w:r>
          </w:p>
        </w:tc>
      </w:tr>
      <w:tr>
        <w:tc>
          <w:tcPr>
            <w:tcW w:type="dxa" w:w="24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Republic / Wefunder</w:t>
            </w:r>
          </w:p>
        </w:tc>
        <w:tc>
          <w:tcPr>
            <w:tcW w:type="dxa" w:w="28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Equity crowdfunding; your open-source community becomes investor base</w:t>
            </w:r>
          </w:p>
        </w:tc>
        <w:tc>
          <w:tcPr>
            <w:tcW w:type="dxa" w:w="18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Equity (Reg CF cap: $5M)</w:t>
            </w:r>
          </w:p>
        </w:tc>
        <w:tc>
          <w:tcPr>
            <w:tcW w:type="dxa" w:w="236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Month 12+ when community is established</w:t>
            </w:r>
          </w:p>
        </w:tc>
      </w:tr>
    </w:tbl>
    <w:p>
      <w:pPr>
        <w:spacing w:before="0" w:after="0"/>
      </w:pPr>
      <w:r>
        <w:t xml:space="preserve"/>
      </w:r>
    </w:p>
    <w:p>
      <w:pPr>
        <w:pStyle w:val="Heading2"/>
        <w:spacing w:before="280" w:after="140"/>
      </w:pPr>
      <w:r>
        <w:rPr>
          <w:rFonts w:ascii="Arial" w:cs="Arial" w:eastAsia="Arial" w:hAnsi="Arial"/>
          <w:b/>
          <w:bCs/>
          <w:color w:val="1E4D8C"/>
          <w:sz w:val="26"/>
          <w:szCs w:val="26"/>
        </w:rPr>
        <w:t xml:space="preserve">5.2  The Pitch Narrative</w:t>
      </w:r>
    </w:p>
    <w:p>
      <w:pPr>
        <w:spacing w:before="80" w:after="120"/>
        <w:jc w:val="both"/>
      </w:pPr>
      <w:r>
        <w:rPr>
          <w:rFonts w:ascii="Arial" w:cs="Arial" w:eastAsia="Arial" w:hAnsi="Arial"/>
          <w:b w:val="false"/>
          <w:bCs w:val="false"/>
          <w:i w:val="false"/>
          <w:iCs w:val="false"/>
          <w:color w:val="1B2A4A"/>
          <w:sz w:val="22"/>
          <w:szCs w:val="22"/>
        </w:rPr>
        <w:t xml:space="preserve">Your investor pitch has one job: make the technological differentiation concrete and the market opportunity undeniable. Here is the narrative structure, integrating the NSF SBIR pitch improvements: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F3E8FF" w:val="clear"/>
            <w:tcMar>
              <w:top w:type="dxa" w:w="120"/>
              <w:left w:type="dxa" w:w="200"/>
              <w:bottom w:type="dxa" w:w="120"/>
              <w:right w:type="dxa" w:w="200"/>
            </w:tcMar>
          </w:tcPr>
          <w:p>
            <w:pPr>
              <w:spacing w:before="0" w:after="40"/>
            </w:pPr>
            <w:r>
              <w:rPr>
                <w:rFonts w:ascii="Arial" w:cs="Arial" w:eastAsia="Arial" w:hAnsi="Arial"/>
                <w:b/>
                <w:bCs/>
                <w:color w:val="3B0764"/>
                <w:sz w:val="22"/>
                <w:szCs w:val="22"/>
              </w:rPr>
              <w:t xml:space="preserve">The 60-Second Pitch</w:t>
            </w:r>
          </w:p>
          <w:p>
            <w:pPr>
              <w:spacing w:before="0" w:after="0"/>
            </w:pPr>
            <w:r>
              <w:rPr>
                <w:rFonts w:ascii="Arial" w:cs="Arial" w:eastAsia="Arial" w:hAnsi="Arial"/>
                <w:color w:val="1B2A4A"/>
                <w:sz w:val="21"/>
                <w:szCs w:val="21"/>
              </w:rPr>
              <w:t xml:space="preserve">The problem: Enterprise AI deployments fail not because the models are bad but because there is no governance. When an AI agent makes a wrong decision at 3am, who is responsible? How do you audit it? How do you prevent it from happening again?
Our solution: OpenClaw is the operating system for multi-agent AI — the first platform to bring Byzantine fault-tolerant governance, immutable audit trails, and neurobiologically-grounded action boundaries to enterprise agent swarms. Think of it as the Linux kernel for AI, but with an OMEGA ROOT governance layer that makes it deployable in regulated industries.
The traction: Two paying enterprise pilots, $X in consulting revenue, NSF SBIR Phase I submitted, 500+ GitHub stars, [X] active contributors.
The ask: $750K pre-seed to hire one senior engineer and accelerate enterprise sales. We will hit $1M ARR in 18 months.</w:t>
            </w:r>
          </w:p>
        </w:tc>
      </w:tr>
    </w:tbl>
    <w:p>
      <w:pPr>
        <w:spacing w:before="0" w:after="0"/>
      </w:pPr>
      <w:r>
        <w:t xml:space="preserve"/>
      </w:r>
    </w:p>
    <w:p>
      <w:pPr>
        <w:pStyle w:val="Heading2"/>
        <w:spacing w:before="280" w:after="140"/>
      </w:pPr>
      <w:r>
        <w:rPr>
          <w:rFonts w:ascii="Arial" w:cs="Arial" w:eastAsia="Arial" w:hAnsi="Arial"/>
          <w:b/>
          <w:bCs/>
          <w:color w:val="1E4D8C"/>
          <w:sz w:val="26"/>
          <w:szCs w:val="26"/>
        </w:rPr>
        <w:t xml:space="preserve">5.3  What the NSF SBIR Pitch Document Already Has Right</w:t>
      </w:r>
    </w:p>
    <w:p>
      <w:pPr>
        <w:spacing w:before="80" w:after="120"/>
        <w:jc w:val="both"/>
      </w:pPr>
      <w:r>
        <w:rPr>
          <w:rFonts w:ascii="Arial" w:cs="Arial" w:eastAsia="Arial" w:hAnsi="Arial"/>
          <w:b w:val="false"/>
          <w:bCs w:val="false"/>
          <w:i w:val="false"/>
          <w:iCs w:val="false"/>
          <w:color w:val="1B2A4A"/>
          <w:sz w:val="22"/>
          <w:szCs w:val="22"/>
        </w:rPr>
        <w:t xml:space="preserve">Based on the NSF SBIR pitch structure in your uploaded documents, here are the specific elements that are already strong and the refinements that will improve acceptance probability: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000"/>
        <w:gridCol w:w="2760"/>
      </w:tblGrid>
      <w:tr>
        <w:trPr>
          <w:tblHeader/>
        </w:trPr>
        <w:tc>
          <w:tcPr>
            <w:tcW w:type="dxa" w:w="2600"/>
            <w:tcBorders>
              <w:top w:val="single" w:color="2E75B6" w:sz="4"/>
              <w:left w:val="single" w:color="2E75B6" w:sz="4"/>
              <w:bottom w:val="single" w:color="2E75B6" w:sz="4"/>
              <w:right w:val="single" w:color="2E75B6" w:sz="4"/>
            </w:tcBorders>
            <w:shd w:fill="1E4D8C"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Element</w:t>
            </w:r>
          </w:p>
        </w:tc>
        <w:tc>
          <w:tcPr>
            <w:tcW w:type="dxa" w:w="4000"/>
            <w:tcBorders>
              <w:top w:val="single" w:color="2E75B6" w:sz="4"/>
              <w:left w:val="single" w:color="2E75B6" w:sz="4"/>
              <w:bottom w:val="single" w:color="2E75B6" w:sz="4"/>
              <w:right w:val="single" w:color="2E75B6" w:sz="4"/>
            </w:tcBorders>
            <w:shd w:fill="1E4D8C"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Assessment</w:t>
            </w:r>
          </w:p>
        </w:tc>
        <w:tc>
          <w:tcPr>
            <w:tcW w:type="dxa" w:w="2760"/>
            <w:tcBorders>
              <w:top w:val="single" w:color="2E75B6" w:sz="4"/>
              <w:left w:val="single" w:color="2E75B6" w:sz="4"/>
              <w:bottom w:val="single" w:color="2E75B6" w:sz="4"/>
              <w:right w:val="single" w:color="2E75B6" w:sz="4"/>
            </w:tcBorders>
            <w:shd w:fill="1E4D8C"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Refinement Action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Glass Box / Auditability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Strong differentiator — lead with the regulatory benefit (SEC, GDPR, SOX compliance), not the technical mechanism (Byzantine Fault Tolerance). Reviewers respond to market pain first.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Reframe: 'Regulatory compliance by design, not by audit.'</w:t>
            </w:r>
          </w:p>
        </w:tc>
      </w:tr>
      <w:tr>
        <w:tc>
          <w:tcPr>
            <w:tcW w:type="dxa" w:w="26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Wolfpack Detection</w:t>
            </w:r>
          </w:p>
        </w:tc>
        <w:tc>
          <w:tcPr>
            <w:tcW w:type="dxa" w:w="40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Concrete and novel. Add a specific accuracy metric: 'Achieve X% wolfpack signal detection accuracy in 1-day simulated market data.' Numbers make it fundable.</w:t>
            </w:r>
          </w:p>
        </w:tc>
        <w:tc>
          <w:tcPr>
            <w:tcW w:type="dxa" w:w="276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Add benchmark target from Hydra data.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Evolution Engine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Good concept but needs commercial translation: 'Reduces LLM inference costs by X% through intelligent System 1/System 2 routing.'</w:t>
            </w:r>
          </w:p>
        </w:tc>
        <w:tc>
          <w:tcPr>
            <w:tcW w:type="dxa" w:w="2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Quantify the cost savings claim.</w:t>
            </w:r>
          </w:p>
        </w:tc>
      </w:tr>
      <w:tr>
        <w:tc>
          <w:tcPr>
            <w:tcW w:type="dxa" w:w="26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PI Qualifications</w:t>
            </w:r>
          </w:p>
        </w:tc>
        <w:tc>
          <w:tcPr>
            <w:tcW w:type="dxa" w:w="40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Ensure 9 person-months (75% FTE) commitment is stated explicitly. This is a common rejection reason.</w:t>
            </w:r>
          </w:p>
        </w:tc>
        <w:tc>
          <w:tcPr>
            <w:tcW w:type="dxa" w:w="276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Add explicit FTE commitment statement.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Market Size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Add a specific dollar figure: the enterprise AI governance market is estimated at $4.2B by 2027. Include a 'bottom-up' estimate: 500 hedge funds x $30K/year = $15M addressable.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Add $4.2B TAM + $15M SAM calculation.</w:t>
            </w:r>
          </w:p>
        </w:tc>
      </w:tr>
    </w:tbl>
    <w:p>
      <w:pPr>
        <w:spacing w:before="0" w:after="0"/>
      </w:pPr>
      <w:r>
        <w:t xml:space="preserve"/>
      </w:r>
    </w:p>
    <w:p>
      <w:pPr>
        <w:pBdr>
          <w:bottom w:val="single" w:color="2E75B6" w:sz="3" w:space="2"/>
        </w:pBdr>
        <w:spacing w:before="120" w:after="120"/>
      </w:pPr>
      <w:r>
        <w:t xml:space="preserve"/>
      </w:r>
    </w:p>
    <w:p>
      <w:pPr>
        <w:pStyle w:val="Heading1"/>
        <w:pBdr>
          <w:bottom w:val="single" w:color="2E75B6" w:sz="6" w:space="1"/>
        </w:pBdr>
        <w:spacing w:before="360" w:after="180"/>
      </w:pPr>
      <w:r>
        <w:rPr>
          <w:rFonts w:ascii="Arial" w:cs="Arial" w:eastAsia="Arial" w:hAnsi="Arial"/>
          <w:b/>
          <w:bCs/>
          <w:color w:val="1B2A4A"/>
          <w:sz w:val="34"/>
          <w:szCs w:val="34"/>
        </w:rPr>
        <w:t xml:space="preserve">Part 6: The 90-Day Master Checklist</w:t>
      </w:r>
    </w:p>
    <w:p>
      <w:pPr>
        <w:pStyle w:val="Heading2"/>
        <w:spacing w:before="280" w:after="140"/>
      </w:pPr>
      <w:r>
        <w:rPr>
          <w:rFonts w:ascii="Arial" w:cs="Arial" w:eastAsia="Arial" w:hAnsi="Arial"/>
          <w:b/>
          <w:bCs/>
          <w:color w:val="1E4D8C"/>
          <w:sz w:val="26"/>
          <w:szCs w:val="26"/>
        </w:rPr>
        <w:t xml:space="preserve">Week 1 (Days 1–7)</w:t>
      </w:r>
    </w:p>
    <w:p>
      <w:pPr>
        <w:pStyle w:val="ListParagraph"/>
        <w:numPr>
          <w:ilvl w:val="0"/>
          <w:numId w:val="3"/>
        </w:numPr>
        <w:spacing w:before="60" w:after="60"/>
      </w:pPr>
      <w:r>
        <w:rPr>
          <w:rFonts w:ascii="Arial" w:cs="Arial" w:eastAsia="Arial" w:hAnsi="Arial"/>
          <w:color w:val="1B2A4A"/>
          <w:sz w:val="22"/>
          <w:szCs w:val="22"/>
        </w:rPr>
        <w:t xml:space="preserve">Post LinkedIn article: 'Why Multi-Agent AI Fails Without a Governance Kernel'</w:t>
      </w:r>
    </w:p>
    <w:p>
      <w:pPr>
        <w:pStyle w:val="ListParagraph"/>
        <w:numPr>
          <w:ilvl w:val="0"/>
          <w:numId w:val="3"/>
        </w:numPr>
        <w:spacing w:before="60" w:after="60"/>
      </w:pPr>
      <w:r>
        <w:rPr>
          <w:rFonts w:ascii="Arial" w:cs="Arial" w:eastAsia="Arial" w:hAnsi="Arial"/>
          <w:color w:val="1B2A4A"/>
          <w:sz w:val="22"/>
          <w:szCs w:val="22"/>
        </w:rPr>
        <w:t xml:space="preserve">Send 5 direct outreach messages to FinTech/trading contacts</w:t>
      </w:r>
    </w:p>
    <w:p>
      <w:pPr>
        <w:pStyle w:val="ListParagraph"/>
        <w:numPr>
          <w:ilvl w:val="0"/>
          <w:numId w:val="3"/>
        </w:numPr>
        <w:spacing w:before="60" w:after="60"/>
      </w:pPr>
      <w:r>
        <w:rPr>
          <w:rFonts w:ascii="Arial" w:cs="Arial" w:eastAsia="Arial" w:hAnsi="Arial"/>
          <w:color w:val="1B2A4A"/>
          <w:sz w:val="22"/>
          <w:szCs w:val="22"/>
        </w:rPr>
        <w:t xml:space="preserve">Submit 5 Upwork/Toptal proposals at $150/hr</w:t>
      </w:r>
    </w:p>
    <w:p>
      <w:pPr>
        <w:pStyle w:val="ListParagraph"/>
        <w:numPr>
          <w:ilvl w:val="0"/>
          <w:numId w:val="3"/>
        </w:numPr>
        <w:spacing w:before="60" w:after="60"/>
      </w:pPr>
      <w:r>
        <w:rPr>
          <w:rFonts w:ascii="Arial" w:cs="Arial" w:eastAsia="Arial" w:hAnsi="Arial"/>
          <w:color w:val="1B2A4A"/>
          <w:sz w:val="22"/>
          <w:szCs w:val="22"/>
        </w:rPr>
        <w:t xml:space="preserve">Email Illinois SBDC at Governors State for free grant consulting appointment</w:t>
      </w:r>
    </w:p>
    <w:p>
      <w:pPr>
        <w:pStyle w:val="ListParagraph"/>
        <w:numPr>
          <w:ilvl w:val="0"/>
          <w:numId w:val="3"/>
        </w:numPr>
        <w:spacing w:before="60" w:after="60"/>
      </w:pPr>
      <w:r>
        <w:rPr>
          <w:rFonts w:ascii="Arial" w:cs="Arial" w:eastAsia="Arial" w:hAnsi="Arial"/>
          <w:color w:val="1B2A4A"/>
          <w:sz w:val="22"/>
          <w:szCs w:val="22"/>
        </w:rPr>
        <w:t xml:space="preserve">Create one-page service menu PDF and attach to LinkedIn profile</w:t>
      </w:r>
    </w:p>
    <w:p>
      <w:pPr>
        <w:pStyle w:val="ListParagraph"/>
        <w:numPr>
          <w:ilvl w:val="0"/>
          <w:numId w:val="3"/>
        </w:numPr>
        <w:spacing w:before="60" w:after="60"/>
      </w:pPr>
      <w:r>
        <w:rPr>
          <w:rFonts w:ascii="Arial" w:cs="Arial" w:eastAsia="Arial" w:hAnsi="Arial"/>
          <w:color w:val="1B2A4A"/>
          <w:sz w:val="22"/>
          <w:szCs w:val="22"/>
        </w:rPr>
        <w:t xml:space="preserve">Register openclaw/openclaw-core on GitHub (even if empty — claim the namespace)</w:t>
      </w:r>
    </w:p>
    <w:p>
      <w:pPr>
        <w:spacing w:before="0" w:after="0"/>
      </w:pPr>
      <w:r>
        <w:t xml:space="preserve"/>
      </w:r>
    </w:p>
    <w:p>
      <w:pPr>
        <w:pStyle w:val="Heading2"/>
        <w:spacing w:before="280" w:after="140"/>
      </w:pPr>
      <w:r>
        <w:rPr>
          <w:rFonts w:ascii="Arial" w:cs="Arial" w:eastAsia="Arial" w:hAnsi="Arial"/>
          <w:b/>
          <w:bCs/>
          <w:color w:val="1E4D8C"/>
          <w:sz w:val="26"/>
          <w:szCs w:val="26"/>
        </w:rPr>
        <w:t xml:space="preserve">Week 2–4 (Days 8–30)</w:t>
      </w:r>
    </w:p>
    <w:p>
      <w:pPr>
        <w:pStyle w:val="ListParagraph"/>
        <w:numPr>
          <w:ilvl w:val="0"/>
          <w:numId w:val="3"/>
        </w:numPr>
        <w:spacing w:before="60" w:after="60"/>
      </w:pPr>
      <w:r>
        <w:rPr>
          <w:rFonts w:ascii="Arial" w:cs="Arial" w:eastAsia="Arial" w:hAnsi="Arial"/>
          <w:color w:val="1B2A4A"/>
          <w:sz w:val="22"/>
          <w:szCs w:val="22"/>
        </w:rPr>
        <w:t xml:space="preserve">Close first paying engagement (audit or workshop)</w:t>
      </w:r>
    </w:p>
    <w:p>
      <w:pPr>
        <w:pStyle w:val="ListParagraph"/>
        <w:numPr>
          <w:ilvl w:val="0"/>
          <w:numId w:val="3"/>
        </w:numPr>
        <w:spacing w:before="60" w:after="60"/>
      </w:pPr>
      <w:r>
        <w:rPr>
          <w:rFonts w:ascii="Arial" w:cs="Arial" w:eastAsia="Arial" w:hAnsi="Arial"/>
          <w:color w:val="1B2A4A"/>
          <w:sz w:val="22"/>
          <w:szCs w:val="22"/>
        </w:rPr>
        <w:t xml:space="preserve">File Illinois LLC ($150) after first payment received</w:t>
      </w:r>
    </w:p>
    <w:p>
      <w:pPr>
        <w:pStyle w:val="ListParagraph"/>
        <w:numPr>
          <w:ilvl w:val="0"/>
          <w:numId w:val="3"/>
        </w:numPr>
        <w:spacing w:before="60" w:after="60"/>
      </w:pPr>
      <w:r>
        <w:rPr>
          <w:rFonts w:ascii="Arial" w:cs="Arial" w:eastAsia="Arial" w:hAnsi="Arial"/>
          <w:color w:val="1B2A4A"/>
          <w:sz w:val="22"/>
          <w:szCs w:val="22"/>
        </w:rPr>
        <w:t xml:space="preserve">Write SOUL.md files for Stinkmeaner and Julius</w:t>
      </w:r>
    </w:p>
    <w:p>
      <w:pPr>
        <w:pStyle w:val="ListParagraph"/>
        <w:numPr>
          <w:ilvl w:val="0"/>
          <w:numId w:val="3"/>
        </w:numPr>
        <w:spacing w:before="60" w:after="60"/>
      </w:pPr>
      <w:r>
        <w:rPr>
          <w:rFonts w:ascii="Arial" w:cs="Arial" w:eastAsia="Arial" w:hAnsi="Arial"/>
          <w:color w:val="1B2A4A"/>
          <w:sz w:val="22"/>
          <w:szCs w:val="22"/>
        </w:rPr>
        <w:t xml:space="preserve">Begin Hydra SKILL.yaml extraction from existing Python script</w:t>
      </w:r>
    </w:p>
    <w:p>
      <w:pPr>
        <w:pStyle w:val="ListParagraph"/>
        <w:numPr>
          <w:ilvl w:val="0"/>
          <w:numId w:val="3"/>
        </w:numPr>
        <w:spacing w:before="60" w:after="60"/>
      </w:pPr>
      <w:r>
        <w:rPr>
          <w:rFonts w:ascii="Arial" w:cs="Arial" w:eastAsia="Arial" w:hAnsi="Arial"/>
          <w:color w:val="1B2A4A"/>
          <w:sz w:val="22"/>
          <w:szCs w:val="22"/>
        </w:rPr>
        <w:t xml:space="preserve">Post to Hacker News: 'Show HN: OpenClaw architecture'</w:t>
      </w:r>
    </w:p>
    <w:p>
      <w:pPr>
        <w:pStyle w:val="ListParagraph"/>
        <w:numPr>
          <w:ilvl w:val="0"/>
          <w:numId w:val="3"/>
        </w:numPr>
        <w:spacing w:before="60" w:after="60"/>
      </w:pPr>
      <w:r>
        <w:rPr>
          <w:rFonts w:ascii="Arial" w:cs="Arial" w:eastAsia="Arial" w:hAnsi="Arial"/>
          <w:color w:val="1B2A4A"/>
          <w:sz w:val="22"/>
          <w:szCs w:val="22"/>
        </w:rPr>
        <w:t xml:space="preserve">Apply to Argonne Chain Reaction Innovations program</w:t>
      </w:r>
    </w:p>
    <w:p>
      <w:pPr>
        <w:spacing w:before="0" w:after="0"/>
      </w:pPr>
      <w:r>
        <w:t xml:space="preserve"/>
      </w:r>
    </w:p>
    <w:p>
      <w:pPr>
        <w:pStyle w:val="Heading2"/>
        <w:spacing w:before="280" w:after="140"/>
      </w:pPr>
      <w:r>
        <w:rPr>
          <w:rFonts w:ascii="Arial" w:cs="Arial" w:eastAsia="Arial" w:hAnsi="Arial"/>
          <w:b/>
          <w:bCs/>
          <w:color w:val="1E4D8C"/>
          <w:sz w:val="26"/>
          <w:szCs w:val="26"/>
        </w:rPr>
        <w:t xml:space="preserve">Month 2 (Days 31–60)</w:t>
      </w:r>
    </w:p>
    <w:p>
      <w:pPr>
        <w:pStyle w:val="ListParagraph"/>
        <w:numPr>
          <w:ilvl w:val="0"/>
          <w:numId w:val="3"/>
        </w:numPr>
        <w:spacing w:before="60" w:after="60"/>
      </w:pPr>
      <w:r>
        <w:rPr>
          <w:rFonts w:ascii="Arial" w:cs="Arial" w:eastAsia="Arial" w:hAnsi="Arial"/>
          <w:color w:val="1B2A4A"/>
          <w:sz w:val="22"/>
          <w:szCs w:val="22"/>
        </w:rPr>
        <w:t xml:space="preserve">Complete Hydra refactor to OpenClaw Swarm Template</w:t>
      </w:r>
    </w:p>
    <w:p>
      <w:pPr>
        <w:pStyle w:val="ListParagraph"/>
        <w:numPr>
          <w:ilvl w:val="0"/>
          <w:numId w:val="3"/>
        </w:numPr>
        <w:spacing w:before="60" w:after="60"/>
      </w:pPr>
      <w:r>
        <w:rPr>
          <w:rFonts w:ascii="Arial" w:cs="Arial" w:eastAsia="Arial" w:hAnsi="Arial"/>
          <w:color w:val="1B2A4A"/>
          <w:sz w:val="22"/>
          <w:szCs w:val="22"/>
        </w:rPr>
        <w:t xml:space="preserve">Run Hydra benchmarks: wolfpack detection accuracy, Evolution Engine latency, Byzantine fault tolerance</w:t>
      </w:r>
    </w:p>
    <w:p>
      <w:pPr>
        <w:pStyle w:val="ListParagraph"/>
        <w:numPr>
          <w:ilvl w:val="0"/>
          <w:numId w:val="3"/>
        </w:numPr>
        <w:spacing w:before="60" w:after="60"/>
      </w:pPr>
      <w:r>
        <w:rPr>
          <w:rFonts w:ascii="Arial" w:cs="Arial" w:eastAsia="Arial" w:hAnsi="Arial"/>
          <w:color w:val="1B2A4A"/>
          <w:sz w:val="22"/>
          <w:szCs w:val="22"/>
        </w:rPr>
        <w:t xml:space="preserve">Begin NSF SBIR Phase I application (use benchmark data as technical evidence)</w:t>
      </w:r>
    </w:p>
    <w:p>
      <w:pPr>
        <w:pStyle w:val="ListParagraph"/>
        <w:numPr>
          <w:ilvl w:val="0"/>
          <w:numId w:val="3"/>
        </w:numPr>
        <w:spacing w:before="60" w:after="60"/>
      </w:pPr>
      <w:r>
        <w:rPr>
          <w:rFonts w:ascii="Arial" w:cs="Arial" w:eastAsia="Arial" w:hAnsi="Arial"/>
          <w:color w:val="1B2A4A"/>
          <w:sz w:val="22"/>
          <w:szCs w:val="22"/>
        </w:rPr>
        <w:t xml:space="preserve">Close second consulting engagement</w:t>
      </w:r>
    </w:p>
    <w:p>
      <w:pPr>
        <w:pStyle w:val="ListParagraph"/>
        <w:numPr>
          <w:ilvl w:val="0"/>
          <w:numId w:val="3"/>
        </w:numPr>
        <w:spacing w:before="60" w:after="60"/>
      </w:pPr>
      <w:r>
        <w:rPr>
          <w:rFonts w:ascii="Arial" w:cs="Arial" w:eastAsia="Arial" w:hAnsi="Arial"/>
          <w:color w:val="1B2A4A"/>
          <w:sz w:val="22"/>
          <w:szCs w:val="22"/>
        </w:rPr>
        <w:t xml:space="preserve">Launch openclaw-core GitHub repository with README and architecture diagram</w:t>
      </w:r>
    </w:p>
    <w:p>
      <w:pPr>
        <w:pStyle w:val="ListParagraph"/>
        <w:numPr>
          <w:ilvl w:val="0"/>
          <w:numId w:val="3"/>
        </w:numPr>
        <w:spacing w:before="60" w:after="60"/>
      </w:pPr>
      <w:r>
        <w:rPr>
          <w:rFonts w:ascii="Arial" w:cs="Arial" w:eastAsia="Arial" w:hAnsi="Arial"/>
          <w:color w:val="1B2A4A"/>
          <w:sz w:val="22"/>
          <w:szCs w:val="22"/>
        </w:rPr>
        <w:t xml:space="preserve">Begin outreach to 3 potential enterprise pilot clients</w:t>
      </w:r>
    </w:p>
    <w:p>
      <w:pPr>
        <w:spacing w:before="0" w:after="0"/>
      </w:pPr>
      <w:r>
        <w:t xml:space="preserve"/>
      </w:r>
    </w:p>
    <w:p>
      <w:pPr>
        <w:pStyle w:val="Heading2"/>
        <w:spacing w:before="280" w:after="140"/>
      </w:pPr>
      <w:r>
        <w:rPr>
          <w:rFonts w:ascii="Arial" w:cs="Arial" w:eastAsia="Arial" w:hAnsi="Arial"/>
          <w:b/>
          <w:bCs/>
          <w:color w:val="1E4D8C"/>
          <w:sz w:val="26"/>
          <w:szCs w:val="26"/>
        </w:rPr>
        <w:t xml:space="preserve">Month 3 (Days 61–90)</w:t>
      </w:r>
    </w:p>
    <w:p>
      <w:pPr>
        <w:pStyle w:val="ListParagraph"/>
        <w:numPr>
          <w:ilvl w:val="0"/>
          <w:numId w:val="3"/>
        </w:numPr>
        <w:spacing w:before="60" w:after="60"/>
      </w:pPr>
      <w:r>
        <w:rPr>
          <w:rFonts w:ascii="Arial" w:cs="Arial" w:eastAsia="Arial" w:hAnsi="Arial"/>
          <w:color w:val="1B2A4A"/>
          <w:sz w:val="22"/>
          <w:szCs w:val="22"/>
        </w:rPr>
        <w:t xml:space="preserve">Submit NSF SBIR Phase I application</w:t>
      </w:r>
    </w:p>
    <w:p>
      <w:pPr>
        <w:pStyle w:val="ListParagraph"/>
        <w:numPr>
          <w:ilvl w:val="0"/>
          <w:numId w:val="3"/>
        </w:numPr>
        <w:spacing w:before="60" w:after="60"/>
      </w:pPr>
      <w:r>
        <w:rPr>
          <w:rFonts w:ascii="Arial" w:cs="Arial" w:eastAsia="Arial" w:hAnsi="Arial"/>
          <w:color w:val="1B2A4A"/>
          <w:sz w:val="22"/>
          <w:szCs w:val="22"/>
        </w:rPr>
        <w:t xml:space="preserve">Post NSF submission on LinkedIn as credibility signal</w:t>
      </w:r>
    </w:p>
    <w:p>
      <w:pPr>
        <w:pStyle w:val="ListParagraph"/>
        <w:numPr>
          <w:ilvl w:val="0"/>
          <w:numId w:val="3"/>
        </w:numPr>
        <w:spacing w:before="60" w:after="60"/>
      </w:pPr>
      <w:r>
        <w:rPr>
          <w:rFonts w:ascii="Arial" w:cs="Arial" w:eastAsia="Arial" w:hAnsi="Arial"/>
          <w:color w:val="1B2A4A"/>
          <w:sz w:val="22"/>
          <w:szCs w:val="22"/>
        </w:rPr>
        <w:t xml:space="preserve">Close first enterprise pilot contract ($15K–$25K)</w:t>
      </w:r>
    </w:p>
    <w:p>
      <w:pPr>
        <w:pStyle w:val="ListParagraph"/>
        <w:numPr>
          <w:ilvl w:val="0"/>
          <w:numId w:val="3"/>
        </w:numPr>
        <w:spacing w:before="60" w:after="60"/>
      </w:pPr>
      <w:r>
        <w:rPr>
          <w:rFonts w:ascii="Arial" w:cs="Arial" w:eastAsia="Arial" w:hAnsi="Arial"/>
          <w:color w:val="1B2A4A"/>
          <w:sz w:val="22"/>
          <w:szCs w:val="22"/>
        </w:rPr>
        <w:t xml:space="preserve">Submit arXiv preprint of MACNN-RLS v3.0 research</w:t>
      </w:r>
    </w:p>
    <w:p>
      <w:pPr>
        <w:pStyle w:val="ListParagraph"/>
        <w:numPr>
          <w:ilvl w:val="0"/>
          <w:numId w:val="3"/>
        </w:numPr>
        <w:spacing w:before="60" w:after="60"/>
      </w:pPr>
      <w:r>
        <w:rPr>
          <w:rFonts w:ascii="Arial" w:cs="Arial" w:eastAsia="Arial" w:hAnsi="Arial"/>
          <w:color w:val="1B2A4A"/>
          <w:sz w:val="22"/>
          <w:szCs w:val="22"/>
        </w:rPr>
        <w:t xml:space="preserve">OpenClaw Core v0.1 public release</w:t>
      </w:r>
    </w:p>
    <w:p>
      <w:pPr>
        <w:pStyle w:val="ListParagraph"/>
        <w:numPr>
          <w:ilvl w:val="0"/>
          <w:numId w:val="3"/>
        </w:numPr>
        <w:spacing w:before="60" w:after="60"/>
      </w:pPr>
      <w:r>
        <w:rPr>
          <w:rFonts w:ascii="Arial" w:cs="Arial" w:eastAsia="Arial" w:hAnsi="Arial"/>
          <w:color w:val="1B2A4A"/>
          <w:sz w:val="22"/>
          <w:szCs w:val="22"/>
        </w:rPr>
        <w:t xml:space="preserve">Apply to Techstars Chicago (if aligned with accelerator model)</w:t>
      </w:r>
    </w:p>
    <w:p>
      <w:pPr>
        <w:spacing w:before="0" w:after="0"/>
      </w:pPr>
      <w:r>
        <w:t xml:space="preserve"/>
      </w:r>
    </w:p>
    <w:p>
      <w:pPr>
        <w:pBdr>
          <w:bottom w:val="single" w:color="2E75B6" w:sz="3" w:space="2"/>
        </w:pBdr>
        <w:spacing w:before="120" w:after="120"/>
      </w:pPr>
      <w:r>
        <w:t xml:space="preserve"/>
      </w:r>
    </w:p>
    <w:p>
      <w:pPr>
        <w:pStyle w:val="Heading1"/>
        <w:pBdr>
          <w:bottom w:val="single" w:color="2E75B6" w:sz="6" w:space="1"/>
        </w:pBdr>
        <w:spacing w:before="360" w:after="180"/>
      </w:pPr>
      <w:r>
        <w:rPr>
          <w:rFonts w:ascii="Arial" w:cs="Arial" w:eastAsia="Arial" w:hAnsi="Arial"/>
          <w:b/>
          <w:bCs/>
          <w:color w:val="1B2A4A"/>
          <w:sz w:val="34"/>
          <w:szCs w:val="34"/>
        </w:rPr>
        <w:t xml:space="preserve">Part 7: Risk Management and Contingencies</w:t>
      </w:r>
    </w:p>
    <w:p>
      <w:pPr>
        <w:pStyle w:val="Heading2"/>
        <w:spacing w:before="280" w:after="140"/>
      </w:pPr>
      <w:r>
        <w:rPr>
          <w:rFonts w:ascii="Arial" w:cs="Arial" w:eastAsia="Arial" w:hAnsi="Arial"/>
          <w:b/>
          <w:bCs/>
          <w:color w:val="1E4D8C"/>
          <w:sz w:val="26"/>
          <w:szCs w:val="26"/>
        </w:rPr>
        <w:t xml:space="preserve">7.1  The Three Failure Modes and Their Counters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2E75B6" w:sz="4"/>
              <w:left w:val="single" w:color="2E75B6" w:sz="4"/>
              <w:bottom w:val="single" w:color="2E75B6" w:sz="4"/>
              <w:right w:val="single" w:color="2E75B6" w:sz="4"/>
            </w:tcBorders>
            <w:shd w:fill="1E4D8C"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Failure Mode</w:t>
            </w:r>
          </w:p>
        </w:tc>
        <w:tc>
          <w:tcPr>
            <w:tcW w:type="dxa" w:w="2400"/>
            <w:tcBorders>
              <w:top w:val="single" w:color="2E75B6" w:sz="4"/>
              <w:left w:val="single" w:color="2E75B6" w:sz="4"/>
              <w:bottom w:val="single" w:color="2E75B6" w:sz="4"/>
              <w:right w:val="single" w:color="2E75B6" w:sz="4"/>
            </w:tcBorders>
            <w:shd w:fill="1E4D8C"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Likelihood</w:t>
            </w:r>
          </w:p>
        </w:tc>
        <w:tc>
          <w:tcPr>
            <w:tcW w:type="dxa" w:w="4760"/>
            <w:tcBorders>
              <w:top w:val="single" w:color="2E75B6" w:sz="4"/>
              <w:left w:val="single" w:color="2E75B6" w:sz="4"/>
              <w:bottom w:val="single" w:color="2E75B6" w:sz="4"/>
              <w:right w:val="single" w:color="2E75B6" w:sz="4"/>
            </w:tcBorders>
            <w:shd w:fill="1E4D8C"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Counter-Strategy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No consulting clients in Month 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Most common early failure; often a messaging problem, not a market problem</w:t>
            </w:r>
          </w:p>
        </w:tc>
        <w:tc>
          <w:tcPr>
            <w:tcW w:type="dxa" w:w="4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Pivot message to more specific pain point: 'I reduce AI hallucination risk for financial services firms'; try 5 more targeted outreach messages; reduce price 30% for first client as loss-leader for testimonial</w:t>
            </w:r>
          </w:p>
        </w:tc>
      </w:tr>
      <w:tr>
        <w:tc>
          <w:tcPr>
            <w:tcW w:type="dxa" w:w="22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NSF SBIR rejected</w:t>
            </w:r>
          </w:p>
        </w:tc>
        <w:tc>
          <w:tcPr>
            <w:tcW w:type="dxa" w:w="24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~78% of first applications are rejected; this is expected</w:t>
            </w:r>
          </w:p>
        </w:tc>
        <w:tc>
          <w:tcPr>
            <w:tcW w:type="dxa" w:w="476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Resubmit with reviewer feedback (NSF provides written reviews); meanwhile, apply to DOE SBIR and Illinois DCEO grants; the Hydra demo and enterprise pilot revenue make resubmission stronger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GitHub launch gets no traction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Community building takes 3–6 months; low early traction is normal</w:t>
            </w:r>
          </w:p>
        </w:tc>
        <w:tc>
          <w:tcPr>
            <w:tcW w:type="dxa" w:w="4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Focus on quality of README and one genuinely useful quick-start demo; one viral HN or Reddit post can 10x stars in a day; don't abandon before 90 days</w:t>
            </w:r>
          </w:p>
        </w:tc>
      </w:tr>
    </w:tbl>
    <w:p>
      <w:pPr>
        <w:spacing w:before="0" w:after="0"/>
      </w:pPr>
      <w:r>
        <w:t xml:space="preserve"/>
      </w:r>
    </w:p>
    <w:p>
      <w:pPr>
        <w:pStyle w:val="Heading2"/>
        <w:spacing w:before="280" w:after="140"/>
      </w:pPr>
      <w:r>
        <w:rPr>
          <w:rFonts w:ascii="Arial" w:cs="Arial" w:eastAsia="Arial" w:hAnsi="Arial"/>
          <w:b/>
          <w:bCs/>
          <w:color w:val="1E4D8C"/>
          <w:sz w:val="26"/>
          <w:szCs w:val="26"/>
        </w:rPr>
        <w:t xml:space="preserve">7.2  The Most Important Thing</w:t>
      </w:r>
    </w:p>
    <w:p>
      <w:pPr>
        <w:spacing w:before="80" w:after="120"/>
        <w:jc w:val="both"/>
      </w:pPr>
      <w:r>
        <w:rPr>
          <w:rFonts w:ascii="Arial" w:cs="Arial" w:eastAsia="Arial" w:hAnsi="Arial"/>
          <w:b w:val="false"/>
          <w:bCs w:val="false"/>
          <w:i w:val="false"/>
          <w:iCs w:val="false"/>
          <w:color w:val="1B2A4A"/>
          <w:sz w:val="22"/>
          <w:szCs w:val="22"/>
        </w:rPr>
        <w:t xml:space="preserve">You have built something genuinely sophisticated. The MACNN-RLS architecture is more theoretically grounded than 95% of what gets venture-funded. The OpenClaw platform vision is coherent and the timing is right — enterprise AI governance is the fastest-growing segment of the AI market right now.</w:t>
      </w:r>
    </w:p>
    <w:p>
      <w:pPr>
        <w:spacing w:before="80" w:after="120"/>
        <w:jc w:val="both"/>
      </w:pPr>
      <w:r>
        <w:rPr>
          <w:rFonts w:ascii="Arial" w:cs="Arial" w:eastAsia="Arial" w:hAnsi="Arial"/>
          <w:b w:val="false"/>
          <w:bCs w:val="false"/>
          <w:i w:val="false"/>
          <w:iCs w:val="false"/>
          <w:color w:val="1B2A4A"/>
          <w:sz w:val="22"/>
          <w:szCs w:val="22"/>
        </w:rPr>
        <w:t xml:space="preserve">The single most common failure mode for founders with strong technical foundations is building in isolation until the money runs out. The antidote is exactly what this playbook prescribes: sell first, build second, grant third, raise fourth. In that order. Every day.</w:t>
      </w:r>
    </w:p>
    <w:p>
      <w:pPr>
        <w:spacing w:before="80" w:after="120"/>
        <w:jc w:val="both"/>
      </w:pPr>
      <w:r>
        <w:rPr>
          <w:rFonts w:ascii="Arial" w:cs="Arial" w:eastAsia="Arial" w:hAnsi="Arial"/>
          <w:b w:val="false"/>
          <w:bCs w:val="false"/>
          <w:i w:val="false"/>
          <w:iCs w:val="false"/>
          <w:color w:val="1B2A4A"/>
          <w:sz w:val="22"/>
          <w:szCs w:val="22"/>
        </w:rPr>
        <w:t xml:space="preserve">The first LinkedIn post costs nothing. The first outreach message costs nothing. The first Upwork proposal costs nothing. The first email to the Illinois SBDC costs nothing. The first GitHub repo costs nothing. Every one of these actions is executable today with zero capital.</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8F5E9" w:val="clear"/>
            <w:tcMar>
              <w:top w:type="dxa" w:w="140"/>
              <w:left w:type="dxa" w:w="200"/>
              <w:bottom w:type="dxa" w:w="140"/>
              <w:right w:type="dxa" w:w="200"/>
            </w:tcMar>
          </w:tcPr>
          <w:p>
            <w:pPr>
              <w:spacing w:before="0" w:after="0"/>
            </w:pPr>
            <w:r>
              <w:rPr>
                <w:rFonts w:ascii="Arial" w:cs="Arial" w:eastAsia="Arial" w:hAnsi="Arial"/>
                <w:i w:val="false"/>
                <w:iCs w:val="false"/>
                <w:color w:val="1B5E20"/>
                <w:sz w:val="21"/>
                <w:szCs w:val="21"/>
              </w:rPr>
              <w:t xml:space="preserve">The architecture is ready. The research is documented. The system is running. The only remaining question is whether you will execute the commercial layer with the same rigor you applied to the technical layer. This playbook is the answer to that question.</w:t>
            </w:r>
          </w:p>
        </w:tc>
      </w:tr>
    </w:tbl>
    <w:p>
      <w:pPr>
        <w:spacing w:before="0" w:after="0"/>
      </w:pPr>
      <w:r>
        <w:t xml:space="preserve"/>
      </w:r>
    </w:p>
    <w:p>
      <w:pPr>
        <w:spacing w:before="0" w:after="0"/>
      </w:pPr>
      <w:r>
        <w:t xml:space="preserve"/>
      </w:r>
    </w:p>
    <w:p>
      <w:pPr>
        <w:pBdr>
          <w:bottom w:val="single" w:color="2E75B6" w:sz="3" w:space="2"/>
        </w:pBdr>
        <w:spacing w:before="120" w:after="120"/>
      </w:pPr>
      <w:r>
        <w:t xml:space="preserve"/>
      </w:r>
    </w:p>
    <w:p>
      <w:pPr>
        <w:pStyle w:val="Heading1"/>
        <w:pBdr>
          <w:bottom w:val="single" w:color="2E75B6" w:sz="6" w:space="1"/>
        </w:pBdr>
        <w:spacing w:before="360" w:after="180"/>
      </w:pPr>
      <w:r>
        <w:rPr>
          <w:rFonts w:ascii="Arial" w:cs="Arial" w:eastAsia="Arial" w:hAnsi="Arial"/>
          <w:b/>
          <w:bCs/>
          <w:color w:val="1B2A4A"/>
          <w:sz w:val="34"/>
          <w:szCs w:val="34"/>
        </w:rPr>
        <w:t xml:space="preserve">Appendix: Key Resources and Contacts</w:t>
      </w:r>
    </w:p>
    <w:p>
      <w:pPr>
        <w:pStyle w:val="Heading2"/>
        <w:spacing w:before="280" w:after="140"/>
      </w:pPr>
      <w:r>
        <w:rPr>
          <w:rFonts w:ascii="Arial" w:cs="Arial" w:eastAsia="Arial" w:hAnsi="Arial"/>
          <w:b/>
          <w:bCs/>
          <w:color w:val="1E4D8C"/>
          <w:sz w:val="26"/>
          <w:szCs w:val="26"/>
        </w:rPr>
        <w:t xml:space="preserve">Illinois-Specific Resources</w:t>
      </w:r>
    </w:p>
    <w:p>
      <w:pPr>
        <w:pStyle w:val="ListParagraph"/>
        <w:numPr>
          <w:ilvl w:val="0"/>
          <w:numId w:val="2"/>
        </w:numPr>
        <w:spacing w:before="60" w:after="60"/>
      </w:pPr>
      <w:r>
        <w:rPr>
          <w:rFonts w:ascii="Arial" w:cs="Arial" w:eastAsia="Arial" w:hAnsi="Arial"/>
          <w:color w:val="1B2A4A"/>
          <w:sz w:val="22"/>
          <w:szCs w:val="22"/>
        </w:rPr>
        <w:t xml:space="preserve">Illinois SBDC at Governors State University: (708) 534-4929 — free business consulting</w:t>
      </w:r>
    </w:p>
    <w:p>
      <w:pPr>
        <w:pStyle w:val="ListParagraph"/>
        <w:numPr>
          <w:ilvl w:val="0"/>
          <w:numId w:val="2"/>
        </w:numPr>
        <w:spacing w:before="60" w:after="60"/>
      </w:pPr>
      <w:r>
        <w:rPr>
          <w:rFonts w:ascii="Arial" w:cs="Arial" w:eastAsia="Arial" w:hAnsi="Arial"/>
          <w:color w:val="1B2A4A"/>
          <w:sz w:val="22"/>
          <w:szCs w:val="22"/>
        </w:rPr>
        <w:t xml:space="preserve">Illinois DCEO: dceo.illinois.gov — grants, tax credits, and business incentives</w:t>
      </w:r>
    </w:p>
    <w:p>
      <w:pPr>
        <w:pStyle w:val="ListParagraph"/>
        <w:numPr>
          <w:ilvl w:val="0"/>
          <w:numId w:val="2"/>
        </w:numPr>
        <w:spacing w:before="60" w:after="60"/>
      </w:pPr>
      <w:r>
        <w:rPr>
          <w:rFonts w:ascii="Arial" w:cs="Arial" w:eastAsia="Arial" w:hAnsi="Arial"/>
          <w:color w:val="1B2A4A"/>
          <w:sz w:val="22"/>
          <w:szCs w:val="22"/>
        </w:rPr>
        <w:t xml:space="preserve">Argonne Chain Reaction Innovations: chainreaction.anl.gov — apply for next cohort</w:t>
      </w:r>
    </w:p>
    <w:p>
      <w:pPr>
        <w:pStyle w:val="ListParagraph"/>
        <w:numPr>
          <w:ilvl w:val="0"/>
          <w:numId w:val="2"/>
        </w:numPr>
        <w:spacing w:before="60" w:after="60"/>
      </w:pPr>
      <w:r>
        <w:rPr>
          <w:rFonts w:ascii="Arial" w:cs="Arial" w:eastAsia="Arial" w:hAnsi="Arial"/>
          <w:color w:val="1B2A4A"/>
          <w:sz w:val="22"/>
          <w:szCs w:val="22"/>
        </w:rPr>
        <w:t xml:space="preserve">Illinois Ventures: illinoisventures.com — University of Illinois-affiliated investment</w:t>
      </w:r>
    </w:p>
    <w:p>
      <w:pPr>
        <w:pStyle w:val="ListParagraph"/>
        <w:numPr>
          <w:ilvl w:val="0"/>
          <w:numId w:val="2"/>
        </w:numPr>
        <w:spacing w:before="60" w:after="60"/>
      </w:pPr>
      <w:r>
        <w:rPr>
          <w:rFonts w:ascii="Arial" w:cs="Arial" w:eastAsia="Arial" w:hAnsi="Arial"/>
          <w:color w:val="1B2A4A"/>
          <w:sz w:val="22"/>
          <w:szCs w:val="22"/>
        </w:rPr>
        <w:t xml:space="preserve">1871 Chicago: 1871.com — Chicago's premier tech incubator, free events and networking</w:t>
      </w:r>
    </w:p>
    <w:p>
      <w:pPr>
        <w:pStyle w:val="ListParagraph"/>
        <w:numPr>
          <w:ilvl w:val="0"/>
          <w:numId w:val="2"/>
        </w:numPr>
        <w:spacing w:before="60" w:after="60"/>
      </w:pPr>
      <w:r>
        <w:rPr>
          <w:rFonts w:ascii="Arial" w:cs="Arial" w:eastAsia="Arial" w:hAnsi="Arial"/>
          <w:color w:val="1B2A4A"/>
          <w:sz w:val="22"/>
          <w:szCs w:val="22"/>
        </w:rPr>
        <w:t xml:space="preserve">MATTER Chicago: matter.health — health tech incubator; relevant for healthcare AI applications</w:t>
      </w:r>
    </w:p>
    <w:p>
      <w:pPr>
        <w:spacing w:before="0" w:after="0"/>
      </w:pPr>
      <w:r>
        <w:t xml:space="preserve"/>
      </w:r>
    </w:p>
    <w:p>
      <w:pPr>
        <w:pStyle w:val="Heading2"/>
        <w:spacing w:before="280" w:after="140"/>
      </w:pPr>
      <w:r>
        <w:rPr>
          <w:rFonts w:ascii="Arial" w:cs="Arial" w:eastAsia="Arial" w:hAnsi="Arial"/>
          <w:b/>
          <w:bCs/>
          <w:color w:val="1E4D8C"/>
          <w:sz w:val="26"/>
          <w:szCs w:val="26"/>
        </w:rPr>
        <w:t xml:space="preserve">Grant Resources</w:t>
      </w:r>
    </w:p>
    <w:p>
      <w:pPr>
        <w:pStyle w:val="ListParagraph"/>
        <w:numPr>
          <w:ilvl w:val="0"/>
          <w:numId w:val="2"/>
        </w:numPr>
        <w:spacing w:before="60" w:after="60"/>
      </w:pPr>
      <w:r>
        <w:rPr>
          <w:rFonts w:ascii="Arial" w:cs="Arial" w:eastAsia="Arial" w:hAnsi="Arial"/>
          <w:color w:val="1B2A4A"/>
          <w:sz w:val="22"/>
          <w:szCs w:val="22"/>
        </w:rPr>
        <w:t xml:space="preserve">NSF SBIR: seedfund.nsf.gov — Phase I ($275K) and Phase II ($1M) applications</w:t>
      </w:r>
    </w:p>
    <w:p>
      <w:pPr>
        <w:pStyle w:val="ListParagraph"/>
        <w:numPr>
          <w:ilvl w:val="0"/>
          <w:numId w:val="2"/>
        </w:numPr>
        <w:spacing w:before="60" w:after="60"/>
      </w:pPr>
      <w:r>
        <w:rPr>
          <w:rFonts w:ascii="Arial" w:cs="Arial" w:eastAsia="Arial" w:hAnsi="Arial"/>
          <w:color w:val="1B2A4A"/>
          <w:sz w:val="22"/>
          <w:szCs w:val="22"/>
        </w:rPr>
        <w:t xml:space="preserve">DOE SBIR: science.osti.gov/sbir — energy and advanced computing focus</w:t>
      </w:r>
    </w:p>
    <w:p>
      <w:pPr>
        <w:pStyle w:val="ListParagraph"/>
        <w:numPr>
          <w:ilvl w:val="0"/>
          <w:numId w:val="2"/>
        </w:numPr>
        <w:spacing w:before="60" w:after="60"/>
      </w:pPr>
      <w:r>
        <w:rPr>
          <w:rFonts w:ascii="Arial" w:cs="Arial" w:eastAsia="Arial" w:hAnsi="Arial"/>
          <w:color w:val="1B2A4A"/>
          <w:sz w:val="22"/>
          <w:szCs w:val="22"/>
        </w:rPr>
        <w:t xml:space="preserve">DARPA SBIR: darpa.mil/work-with-us/for-small-businesses — highest funding, highest bar</w:t>
      </w:r>
    </w:p>
    <w:p>
      <w:pPr>
        <w:pStyle w:val="ListParagraph"/>
        <w:numPr>
          <w:ilvl w:val="0"/>
          <w:numId w:val="2"/>
        </w:numPr>
        <w:spacing w:before="60" w:after="60"/>
      </w:pPr>
      <w:r>
        <w:rPr>
          <w:rFonts w:ascii="Arial" w:cs="Arial" w:eastAsia="Arial" w:hAnsi="Arial"/>
          <w:color w:val="1B2A4A"/>
          <w:sz w:val="22"/>
          <w:szCs w:val="22"/>
        </w:rPr>
        <w:t xml:space="preserve">SCORE Mentors: score.org — free mentorship from retired executives; Chicago chapter is active</w:t>
      </w:r>
    </w:p>
    <w:p>
      <w:pPr>
        <w:spacing w:before="0" w:after="0"/>
      </w:pPr>
      <w:r>
        <w:t xml:space="preserve"/>
      </w:r>
    </w:p>
    <w:p>
      <w:pPr>
        <w:pStyle w:val="Heading2"/>
        <w:spacing w:before="280" w:after="140"/>
      </w:pPr>
      <w:r>
        <w:rPr>
          <w:rFonts w:ascii="Arial" w:cs="Arial" w:eastAsia="Arial" w:hAnsi="Arial"/>
          <w:b/>
          <w:bCs/>
          <w:color w:val="1E4D8C"/>
          <w:sz w:val="26"/>
          <w:szCs w:val="26"/>
        </w:rPr>
        <w:t xml:space="preserve">Target Client Verticals (Chicago Metro)</w:t>
      </w:r>
    </w:p>
    <w:p>
      <w:pPr>
        <w:pStyle w:val="ListParagraph"/>
        <w:numPr>
          <w:ilvl w:val="0"/>
          <w:numId w:val="2"/>
        </w:numPr>
        <w:spacing w:before="60" w:after="60"/>
      </w:pPr>
      <w:r>
        <w:rPr>
          <w:rFonts w:ascii="Arial" w:cs="Arial" w:eastAsia="Arial" w:hAnsi="Arial"/>
          <w:color w:val="1B2A4A"/>
          <w:sz w:val="22"/>
          <w:szCs w:val="22"/>
        </w:rPr>
        <w:t xml:space="preserve">Hedge funds and prop trading firms: Chicago is the second-largest futures trading hub in the world</w:t>
      </w:r>
    </w:p>
    <w:p>
      <w:pPr>
        <w:pStyle w:val="ListParagraph"/>
        <w:numPr>
          <w:ilvl w:val="0"/>
          <w:numId w:val="2"/>
        </w:numPr>
        <w:spacing w:before="60" w:after="60"/>
      </w:pPr>
      <w:r>
        <w:rPr>
          <w:rFonts w:ascii="Arial" w:cs="Arial" w:eastAsia="Arial" w:hAnsi="Arial"/>
          <w:color w:val="1B2A4A"/>
          <w:sz w:val="22"/>
          <w:szCs w:val="22"/>
        </w:rPr>
        <w:t xml:space="preserve">Insurance companies: Allstate, Zurich, CNA all headquartered in Chicago metro — compliance AI is a direct fit</w:t>
      </w:r>
    </w:p>
    <w:p>
      <w:pPr>
        <w:pStyle w:val="ListParagraph"/>
        <w:numPr>
          <w:ilvl w:val="0"/>
          <w:numId w:val="2"/>
        </w:numPr>
        <w:spacing w:before="60" w:after="60"/>
      </w:pPr>
      <w:r>
        <w:rPr>
          <w:rFonts w:ascii="Arial" w:cs="Arial" w:eastAsia="Arial" w:hAnsi="Arial"/>
          <w:color w:val="1B2A4A"/>
          <w:sz w:val="22"/>
          <w:szCs w:val="22"/>
        </w:rPr>
        <w:t xml:space="preserve">Healthcare: Northwestern Medicine, Advocate Aurora, Rush University Medical Center — all active in AI adoption</w:t>
      </w:r>
    </w:p>
    <w:p>
      <w:pPr>
        <w:pStyle w:val="ListParagraph"/>
        <w:numPr>
          <w:ilvl w:val="0"/>
          <w:numId w:val="2"/>
        </w:numPr>
        <w:spacing w:before="60" w:after="60"/>
      </w:pPr>
      <w:r>
        <w:rPr>
          <w:rFonts w:ascii="Arial" w:cs="Arial" w:eastAsia="Arial" w:hAnsi="Arial"/>
          <w:color w:val="1B2A4A"/>
          <w:sz w:val="22"/>
          <w:szCs w:val="22"/>
        </w:rPr>
        <w:t xml:space="preserve">Manufacturing: Rockwell Automation, Illinois Tool Works — industrial AI governance is an emerging need</w:t>
      </w:r>
    </w:p>
    <w:p>
      <w:pPr>
        <w:spacing w:before="0" w:after="0"/>
      </w:pPr>
      <w:r>
        <w:t xml:space="preserve"/>
      </w:r>
    </w:p>
    <w:p>
      <w:pPr>
        <w:spacing w:before="0" w:after="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B2A4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B2A4A"/>
      <w:sz w:val="34"/>
      <w:szCs w:val="34"/>
    </w:rPr>
  </w:style>
  <w:style w:type="paragraph" w:styleId="Heading2">
    <w:name w:val="Heading 2"/>
    <w:basedOn w:val="Normal"/>
    <w:next w:val="Normal"/>
    <w:qFormat/>
    <w:pPr>
      <w:spacing w:before="280" w:after="140"/>
      <w:outlineLvl w:val="1"/>
    </w:pPr>
    <w:rPr>
      <w:rFonts w:ascii="Arial" w:cs="Arial" w:eastAsia="Arial" w:hAnsi="Arial"/>
      <w:b/>
      <w:bCs/>
      <w:color w:val="1E4D8C"/>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2026-02-22T00:07:15.385Z</dcterms:created>
  <dcterms:modified xsi:type="dcterms:W3CDTF">2026-02-22T00:07:15.386Z</dcterms:modified>
</cp:coreProperties>
</file>

<file path=docProps/custom.xml><?xml version="1.0" encoding="utf-8"?>
<Properties xmlns="http://schemas.openxmlformats.org/officeDocument/2006/custom-properties" xmlns:vt="http://schemas.openxmlformats.org/officeDocument/2006/docPropsVTypes"/>
</file>