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000000"/>
          <w:sz w:val="52"/>
          <w:szCs w:val="52"/>
        </w:rPr>
        <w:t xml:space="preserve">个股调研报告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2B5797"/>
          <w:sz w:val="36"/>
          <w:szCs w:val="36"/>
        </w:rPr>
        <w:t xml:space="preserve">三花智控（002050.SZ）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全球制冷阀件+汽车热管理龙头，机器人第三曲线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4"/>
          <w:szCs w:val="24"/>
        </w:rPr>
        <w:t xml:space="preserve">2026-05-28</w:t>
      </w:r>
    </w:p>
    <w:p>
      <w:r>
        <w:br w:type="page"/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一、公司概况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全称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浙江三花智能控制股份有限公司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代码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002050.SZ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上市时间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2005年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实控人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张道才、张亚波、张少波（父子）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子公司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三花汽车零部件、三花商用制冷、三花国际（新加坡/美国）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总部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浙江绍兴新昌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市值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约2200-2270亿元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股价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约52-54元</w:t>
            </w:r>
          </w:p>
        </w:tc>
      </w:tr>
    </w:tbl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二、产业布局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1. 制冷空调零部件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营收185.85亿，占比60%，同比+12.22%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产品：电子膨胀阀、截止阀、四通换向阀等，全球制冷阀件龙头，与盾安环境形成"双寡头"格局。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2. 汽车热管理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营收124.27亿，占比40%，同比+9.14%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汽车电子膨胀阀全球市占率52-53%排名第一，客户含特斯拉/比亚迪/大众/宝马。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3. 人形机器人执行器（新兴）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旋转/线性执行器，绑定特斯拉Optimus，已获样品订单。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4. 数据中心液冷（新方向）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AI算力液冷温控方案。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三、行业地位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详情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全球汽车电子膨胀阀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市占率52-53%，全球第一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全球制冷阀件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与盾安环境双寡头，海外对手不二工机（19%）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竞争对手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盾安环境（~200亿市值，PE 25-30x）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竞争对手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拓普集团（~1180亿，35-40x）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竞争对手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银轮股份（~300亿，30-35x）</w:t>
            </w:r>
          </w:p>
        </w:tc>
      </w:tr>
    </w:tbl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四、财务数据</w:t>
      </w:r>
    </w:p>
    <w:p>
      <w:pPr>
        <w:shd w:fill="FFFF00" w:val="clear"/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2025全年业绩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40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数值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增速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营收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310.12亿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+10.97%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归母净利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40.63亿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+31.10%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毛利率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28.78%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ROE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约15.80%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</w:tbl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FFFF00" w:val="clear"/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2026Q1业绩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40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数值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增速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营收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77.74亿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+1.36%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归母净利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9.28亿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+2.68%</w:t>
            </w:r>
          </w:p>
        </w:tc>
      </w:tr>
    </w:tbl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Q1增速放缓受汽车热管理短期承压。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五、估值分析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PE(TTM)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约44-50倍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PB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约5.7倍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东方证券目标价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55.55元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华泰目标价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57元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国元目标价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59.17元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同花顺一致预期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52.65元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高盛目标价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40.9-43.1元（反复调整：中性→买入→中性→买入）</w:t>
            </w:r>
          </w:p>
        </w:tc>
      </w:tr>
    </w:tbl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六、情绪面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2025年9月涨停创新高46元，10月"50亿订单"传闻涨停（后证实不实）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2026年5月52-54元区间，较3月低点43元反弹20-25%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核心概念：人形机器人（特斯拉Optimus供应商）+液冷+热管理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主力净流入曾达22亿元创板块纪录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七、看多/看空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看多逻辑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全球制冷龙头稳健+汽车热管理单车价值提升+机器人第三曲线+液冷新方向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看空逻辑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PE 44-50x高于同行盾安25x+机器人尚未量产贡献收入+Q1增速放缓+高盛看空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八、综合评价</w:t>
      </w:r>
    </w:p>
    <w:p>
      <w:pPr>
        <w:shd w:fill="FFFF00" w:val="clear"/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核心结论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三花的核心价值在于"传统业务全球龙头提供业绩底部+机器人打开成长天花板"。约50%的估值溢价来自机器人预期。若Optimus量产不及预期，估值面临回落。当前位于高盛目标价（40.9元）上方约30%，需机器人业务兑现来消化估值。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免责声明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本报告仅供参考，不构成任何投资建议。报告中的信息来源于公开资料，作者不对其准确性、完整性做出任何保证。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投资有风险，入市需谨慎。过往业绩不代表未来表现。读者应根据自身情况独立判断，并承担相应的投资风险。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本报告版权归作者所有，未经许可不得转载、复制或用于商业用途。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三花智控（002050.SZ）</w:t>
    </w: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    2026-05-28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2026-05-28T09:47:42.350Z</dcterms:created>
  <dcterms:modified xsi:type="dcterms:W3CDTF">2026-05-28T09:47:42.350Z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