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2"/>
          <w:szCs w:val="52"/>
        </w:rPr>
        <w:t xml:space="preserve">个股调研报告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36"/>
          <w:szCs w:val="36"/>
        </w:rPr>
        <w:t xml:space="preserve">博云新材（002297.SZ）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C919唯一国产刹车供应商+硬质合金业绩爆发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2026-05-28</w:t>
      </w:r>
    </w:p>
    <w:p>
      <w:r>
        <w:br w:type="page"/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一、公司概况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全称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湖南博云新材料股份有限公司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代码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002297.SZ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上市时间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2009年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实控人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湖南省国资委（通过中南大学粉末冶金工程研究中心）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子公司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博云东方（硬质合金）、鑫航机轮刹车、霍尼韦尔博云（合资，C919刹车）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湖南长沙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市值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约135-144亿元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约23.69-25.85元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二、产业布局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1. 硬质合金（营收占比&gt;50%）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特粗晶/超细纳米硬质合金，博云东方为专精特新小巨人。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2. 航空制动（战略性业务）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C919唯一国产刹车系统供应商（霍尼韦尔博云合资），军机粉末冶金刹车副。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3. 航天材料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碳/碳复合材料，固体火箭发动机喷管。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4. 稀有金属粉体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钨/钼粉末原材料。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三、行业地位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C919国产刹车系统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唯一供应商（通过霍尼韦尔博云合资）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粉末冶金刹车副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国内主要供应商，打破国外垄断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硬质合金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博云东方为专精特新小巨人，特粗晶领域技术领先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航材股份（234-267亿，PE 40-56x）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中航高科（240亿+，PE 25-28x）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北摩高科（100亿+，PE 50x+）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四、财务数据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业绩爆发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增速/备注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9.1亿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+27.77%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6185万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扭亏为盈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2026Q1营收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3.80亿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+125.94%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2026Q1归母净利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1.32亿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+13362%（133倍！）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ROE(TTM)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约8.7%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爆发原因：硬质合金毛利率大幅提升（钨价上涨+低价库存重估）+航空业务增长。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五、估值分析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PE(TTM)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约77倍（基于2025全年6185万净利）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PE(动态)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约27倍（基于Q1利润1.32亿年化5亿+估算）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PB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约6.01倍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券商覆盖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无主流券商近期覆盖和目标价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六、情绪面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9天6板：5月期间6次涨停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5月22日换手率29.18%，成交额42.71亿元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5月26日跌停（公司发布异动公告后）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近半年累计上龙虎榜22次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核心催化：C919量产加速（每10-15天一架）+钨涨价+Q1利润133倍+军工板块轮动+商业航天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七、看多/看空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看多逻辑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C919量产受益+硬质合金业绩爆发+Q1利润133倍+军工+商业航天+扭亏拐点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看空逻辑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硬质合金高毛利难持续（钨价波动）+静态PE 77x极高+航空营收占比低+游资主导+异动公告后跌停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八、综合评价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核心结论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博云新材处于"业绩拐点+主题催化"双重驱动中。Q1利润1.32亿远超2025全年（6185万），若能持续则动态PE约27倍并不贵。核心不确定性在于硬质合金高毛利能否持续（取决于钨价走势），以及C919刹车系统何时贡献实质收入。当前9天6板后情绪已high，短期追高风险大，需等回调或业绩持续验证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免责声明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本报告仅供参考，不构成任何投资建议。报告中的信息来源于公开资料，作者不对其准确性、完整性做出任何保证。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投资有风险，入市需谨慎。过往业绩不代表未来表现。读者应根据自身情况独立判断，并承担相应的投资风险。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本报告版权归作者所有，未经许可不得转载、复制或用于商业用途。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博云新材（002297.SZ）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 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2026-05-28T09:47:42.409Z</dcterms:created>
  <dcterms:modified xsi:type="dcterms:W3CDTF">2026-05-28T09:47:42.409Z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