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52"/>
          <w:szCs w:val="52"/>
        </w:rPr>
        <w:t xml:space="preserve">个股调研报告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36"/>
          <w:szCs w:val="36"/>
        </w:rPr>
        <w:t xml:space="preserve">长电科技（600584.SH）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国内封测绝对龙头/全球第三，AI先进封装核心标的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2026-05-28</w:t>
      </w:r>
    </w:p>
    <w:p>
      <w:r>
        <w:br w:type="page"/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一、公司概况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全称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江苏长电科技股份有限公司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代码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600584.SH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上市时间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2003年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实控人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华润集团（2023年入主）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子公司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星科金朋（新加坡）、长电韩国、长电先进封装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总部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江苏江阴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市值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约2400亿元（5月26日涨停时）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股价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约84.81元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二、产业布局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全球领先半导体封装测试企业。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先进封装营收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2025年270亿（占比约69.5%，创历史新高）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核心技术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XDFOI（极高密度扇出）、Chiplet、2.5D/3D封装、FCBGA、SiP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应用领域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通讯36.4%、消费23.6%、HPC/AI高增、汽车电子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境外收入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占比70%+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研发费用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2025年20.86亿（+21.37%）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三、行业地位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全球排名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全球封测第三（日月光第一、安靠第二）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国内排名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国内封测绝对第一（市占率36.94%）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先进封装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占比最高（约70%）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通富微电（营收279亿，PE 50-60x，AMD绑定）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华天科技（~150亿，PE 60-80x）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四、财务数据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2025全年业绩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增速/备注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388.71亿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+8.09%（创新高）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15.65亿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-2.75%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ROE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5.56%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增收不增利原因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先进封装前期投入大+研发费用高增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2026Q1业绩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91.71亿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显著增长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2.90亿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+约50%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Q1业绩大幅改善验证先进封装进入收获期。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五、估值分析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PE(TTM)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约90-95倍（历史百分位99.86%，极高）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PB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约5.0-5.5倍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高盛目标价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50.9元（中性）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瑞银目标价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79.5元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10位分析师平均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56.84元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当前状态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股价85元已显著超过大多数目标价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对比参考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日月光PE仅15-20x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六、情绪面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5月22/25/26日连续3日涨停（10%+10%+10%），触发异动公告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公司声明无应披露而未披露重大事项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核心催化：AI算力爆发 -&gt; 先进封装是算力瓶颈 -&gt; 国产替代 -&gt; XDFOI对标台积电CoWoS -&gt; 华润央企+固投加码100亿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主力资金持续大幅流入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七、看多/看空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看多逻辑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全球第三国内第一+先进封装270亿领先+AI算力确定性受益+XDFOI技术突破+Q1业绩拐点+华润央企背景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看空逻辑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PE 93x历史极值+股价远超所有目标价+日月光仅15-20x+先进封装前期仍压毛利+全球贸易风险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八、综合评价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核心结论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长电是AI先进封装的"正统龙头"——全球第三、国内第一、先进封装占比70%，基本面过硬。但PE 93倍处于历史极端水平，股价85元远超券商平均目标价57元（+49%）。当前定价已包含极其乐观的AI先进封装爆发预期。如果2026年利润能达到券商预期的24亿，则对应远期PE约100x，需要持续高增长才能消化。短期存在追高风险，中长期取决于先进封装利润释放节奏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免责声明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本报告仅供参考，不构成任何投资建议。报告中的信息来源于公开资料，作者不对其准确性、完整性做出任何保证。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投资有风险，入市需谨慎。过往业绩不代表未来表现。读者应根据自身情况独立判断，并承担相应的投资风险。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本报告版权归作者所有，未经许可不得转载、复制或用于商业用途。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长电科技（600584.SH）</w:t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 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2026-05-28T09:47:42.398Z</dcterms:created>
  <dcterms:modified xsi:type="dcterms:W3CDTF">2026-05-28T09:47:42.398Z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