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1.0 | May 2026 | InterSystems AI Hub</w:t>
      </w:r>
    </w:p>
    <w:p>
      <w:r>
        <w:br w:type="page"/>
      </w:r>
    </w:p>
    <w:p>
      <w:pPr>
        <w:pStyle w:val="Heading1"/>
      </w:pPr>
      <w:r>
        <w:t>1. Executive Summary</w:t>
      </w:r>
    </w:p>
    <w:p>
      <w:r>
        <w:t>This document specifies the components InterSystems must build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a transformation data atlas, connection management, and audit/security controls.</w:t>
      </w:r>
    </w:p>
    <w:p>
      <w:r>
        <w:br w:type="page"/>
      </w:r>
    </w:p>
    <w:p>
      <w:pPr>
        <w:pStyle w:val="Heading1"/>
      </w:pPr>
      <w:r>
        <w:t>2. Chatbot UX</w:t>
      </w:r>
    </w:p>
    <w:p>
      <w:r>
        <w:t>A streaming chat interface embedded in the IRIS Management Portal that connects to a %AI.Agent via Server-Sent Events (SSE). The chatbot is the Builder's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42 tools across 5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42 tools listed across the five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user approval before execution.</w:t>
      </w:r>
    </w:p>
    <w:p>
      <w:pPr>
        <w:pStyle w:val="ListBullet"/>
      </w:pPr>
      <w:r>
        <w:t>ToolFilter: Strips framework waste tools (FileSystem, SQL, ShellTools) from the LLM catalog. Saves ~3K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 (Transformation Mappings)</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5 classes, 42 tools</w:t>
            </w:r>
          </w:p>
        </w:tc>
        <w:tc>
          <w:tcPr>
            <w:tcW w:type="dxa" w:w="2880"/>
          </w:tcPr>
          <w:p>
            <w:r>
              <w:rPr>
                <w:sz w:val="20"/>
              </w:rPr>
              <w:t>Built</w:t>
            </w:r>
          </w:p>
        </w:tc>
      </w:tr>
      <w:tr>
        <w:tc>
          <w:tcPr>
            <w:tcW w:type="dxa" w:w="2880"/>
          </w:tcPr>
          <w:p>
            <w:r>
              <w:rPr>
                <w:sz w:val="20"/>
              </w:rPr>
              <w:t>Skills</w:t>
            </w:r>
          </w:p>
        </w:tc>
        <w:tc>
          <w:tcPr>
            <w:tcW w:type="dxa" w:w="2880"/>
          </w:tcPr>
          <w:p>
            <w:r>
              <w:rPr>
                <w:sz w:val="20"/>
              </w:rPr>
              <w:t>13 classes (Base + 12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95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