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Agentic Health Interoperability</w:t>
      </w:r>
    </w:p>
    <w:p>
      <w:pPr>
        <w:jc w:val="center"/>
      </w:pPr>
      <w:r>
        <w:rPr>
          <w:color w:val="666666"/>
          <w:sz w:val="28"/>
        </w:rPr>
        <w:t>Technical Build Specification</w:t>
      </w:r>
    </w:p>
    <w:p/>
    <w:p>
      <w:pPr>
        <w:jc w:val="center"/>
      </w:pPr>
      <w:r>
        <w:rPr>
          <w:i/>
          <w:color w:val="999999"/>
          <w:sz w:val="20"/>
        </w:rPr>
        <w:t>Version 3.0 | May 2026 | InterSystems AI Hub</w:t>
      </w:r>
    </w:p>
    <w:p>
      <w:r>
        <w:br w:type="page"/>
      </w:r>
    </w:p>
    <w:p>
      <w:pPr>
        <w:pStyle w:val="Heading1"/>
      </w:pPr>
      <w:r>
        <w:t>1. Executive Summary</w:t>
      </w:r>
    </w:p>
    <w:p>
      <w:r>
        <w:t>This document specifies the components needed to deliver a production-grade Agentic Health Interoperability solution. The system is a configuration-driven AI Copilot embedded in IRIS for Health that enables integration engineers to build Productions, create Transformations, and test healthcare messages through natural-language conversation.</w:t>
      </w:r>
    </w:p>
    <w:p>
      <w:r>
        <w:t>The solution is built on the IRIS %AI Framework (Agent, MCP, ToolSet, Tool, Skill primitives) and extends it with application-specific infrastructure: a chat UX, an admin UI, vector catalogs, the Transformation and Mapping Catalog, connection management, and audit/security controls.</w:t>
      </w:r>
    </w:p>
    <w:p>
      <w:r>
        <w:t>Four personas interact with the system: Developers who build capabilities in code, AI Hub Admins who configure the copilot through the admin UI, Builders (dev-time End Users) who create new integration artifacts, and Operators (run-time End Users) who monitor, triage, and review existing integrations.</w:t>
      </w:r>
    </w:p>
    <w:p>
      <w:r>
        <w:br w:type="page"/>
      </w:r>
    </w:p>
    <w:p>
      <w:pPr>
        <w:pStyle w:val="Heading1"/>
      </w:pPr>
      <w:r>
        <w:t>2. Chatbot UX</w:t>
      </w:r>
    </w:p>
    <w:p>
      <w:r>
        <w:t>A streaming chat interface embedded in the IRIS Management Portal that connects to a %AI.Agent via Server-Sent Events (SSE). The chatbot is the End User's primary interface for interacting with the agent.</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15_chatbot.png"/>
                    <pic:cNvPicPr/>
                  </pic:nvPicPr>
                  <pic:blipFill>
                    <a:blip r:embed="rId9"/>
                    <a:stretch>
                      <a:fillRect/>
                    </a:stretch>
                  </pic:blipFill>
                  <pic:spPr>
                    <a:xfrm>
                      <a:off x="0" y="0"/>
                      <a:ext cx="5669280" cy="3543300"/>
                    </a:xfrm>
                    <a:prstGeom prst="rect"/>
                  </pic:spPr>
                </pic:pic>
              </a:graphicData>
            </a:graphic>
          </wp:inline>
        </w:drawing>
      </w:r>
    </w:p>
    <w:p>
      <w:pPr>
        <w:jc w:val="center"/>
      </w:pPr>
      <w:r>
        <w:rPr>
          <w:i/>
          <w:color w:val="666666"/>
          <w:sz w:val="18"/>
        </w:rPr>
        <w:t>Figure: Chat interface with streaming responses, starter prompts, conversation sidebar, and connection status</w:t>
      </w:r>
    </w:p>
    <w:p/>
    <w:p>
      <w:pPr>
        <w:pStyle w:val="Heading2"/>
      </w:pPr>
      <w:r>
        <w:t>2.1 Streaming Responses</w:t>
      </w:r>
    </w:p>
    <w:p>
      <w:r>
        <w:t>SSE endpoint (POST /chat/stream) emits tokens as they arrive from the LLM. Each token is a data: event with JSON payload. Tool lifecycle events (tool_start, tool_args, tool_result, tool_error) render as inline cards.</w:t>
      </w:r>
    </w:p>
    <w:p>
      <w:pPr>
        <w:pStyle w:val="Heading2"/>
      </w:pPr>
      <w:r>
        <w:t>2.2 Confirmation Gate</w:t>
      </w:r>
    </w:p>
    <w:p>
      <w:r>
        <w:t>Mutating tools (create, update, delete) pause execution and surface an Approve/Reject prompt. The AgenticInterop.Policy.ConfirmationGate policy intercepts tool calls before execution. Rejection feeds back to the agent as a tool error.</w:t>
      </w:r>
    </w:p>
    <w:p>
      <w:pPr>
        <w:pStyle w:val="Heading2"/>
      </w:pPr>
      <w:r>
        <w:t>2.3 Performance Guardrails</w:t>
      </w:r>
    </w:p>
    <w:p>
      <w:r>
        <w:t>AgenticInterop.Agent.Monitor enforces per-turn limits: 60-second deadline and 50,000 token budget. If a turn exceeds limits, the monitor triggers a graceful stop and the agent summarizes partial results.</w:t>
      </w:r>
    </w:p>
    <w:p>
      <w:r>
        <w:br w:type="page"/>
      </w:r>
    </w:p>
    <w:p>
      <w:pPr>
        <w:pStyle w:val="Heading1"/>
      </w:pPr>
      <w:r>
        <w:t>3. Agent</w:t>
      </w:r>
    </w:p>
    <w:p>
      <w:r>
        <w:t>A single %AI.Agent instance ('HealthInterop') serves as the router agent. It receives user messages, decides which tools or skills to invoke, and orchestrates multi-step workflows.</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agent_detail.png"/>
                    <pic:cNvPicPr/>
                  </pic:nvPicPr>
                  <pic:blipFill>
                    <a:blip r:embed="rId10"/>
                    <a:stretch>
                      <a:fillRect/>
                    </a:stretch>
                  </pic:blipFill>
                  <pic:spPr>
                    <a:xfrm>
                      <a:off x="0" y="0"/>
                      <a:ext cx="5669280" cy="3543300"/>
                    </a:xfrm>
                    <a:prstGeom prst="rect"/>
                  </pic:spPr>
                </pic:pic>
              </a:graphicData>
            </a:graphic>
          </wp:inline>
        </w:drawing>
      </w:r>
    </w:p>
    <w:p>
      <w:pPr>
        <w:jc w:val="center"/>
      </w:pPr>
      <w:r>
        <w:rPr>
          <w:i/>
          <w:color w:val="666666"/>
          <w:sz w:val="18"/>
        </w:rPr>
        <w:t>Figure: Agent configuration editor showing system prompt, temperature, max iterations, tool binding mode, and MCP/skill bindings</w:t>
      </w:r>
    </w:p>
    <w:p/>
    <w:p>
      <w:pPr>
        <w:pStyle w:val="Heading2"/>
      </w:pPr>
      <w:r>
        <w:t>3.1 Agent Architecture</w:t>
      </w:r>
    </w:p>
    <w:p>
      <w:r>
        <w:t>AgenticInterop.Agent.HealthInterop (extends %AI.Agent)</w:t>
      </w:r>
    </w:p>
    <w:p>
      <w:pPr>
        <w:pStyle w:val="ListBullet"/>
      </w:pPr>
      <w:r>
        <w:t xml:space="preserve">  Manager: builds configured agent at request time (loads provider, binds MCPs, loads skills, attaches policies)</w:t>
      </w:r>
    </w:p>
    <w:p>
      <w:pPr>
        <w:pStyle w:val="ListBullet"/>
      </w:pPr>
      <w:r>
        <w:t xml:space="preserve">  Monitor: iteration callback enforcing 60s deadline + 50K token budget</w:t>
      </w:r>
    </w:p>
    <w:p>
      <w:pPr>
        <w:pStyle w:val="ListBullet"/>
      </w:pPr>
      <w:r>
        <w:t xml:space="preserve">  SkillLoader: discovers Skill.Base subclasses and registers as tools</w:t>
      </w:r>
    </w:p>
    <w:p>
      <w:pPr>
        <w:pStyle w:val="Heading2"/>
      </w:pPr>
      <w:r>
        <w:t>3.2 Runtime Configuration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Parameter</w:t>
            </w:r>
          </w:p>
        </w:tc>
        <w:tc>
          <w:tcPr>
            <w:tcW w:type="dxa" w:w="2880"/>
            <w:shd w:val="clear" w:color="auto" w:fill="1A1A2E"/>
          </w:tcPr>
          <w:p>
            <w:r>
              <w:rPr>
                <w:b/>
                <w:color w:val="FFFFFF"/>
                <w:sz w:val="20"/>
              </w:rPr>
              <w:t>Default</w:t>
            </w:r>
          </w:p>
        </w:tc>
        <w:tc>
          <w:tcPr>
            <w:tcW w:type="dxa" w:w="2880"/>
            <w:shd w:val="clear" w:color="auto" w:fill="1A1A2E"/>
          </w:tcPr>
          <w:p>
            <w:r>
              <w:rPr>
                <w:b/>
                <w:color w:val="FFFFFF"/>
                <w:sz w:val="20"/>
              </w:rPr>
              <w:t>Configurable Via</w:t>
            </w:r>
          </w:p>
        </w:tc>
      </w:tr>
      <w:tr>
        <w:tc>
          <w:tcPr>
            <w:tcW w:type="dxa" w:w="2880"/>
          </w:tcPr>
          <w:p>
            <w:r>
              <w:rPr>
                <w:sz w:val="20"/>
              </w:rPr>
              <w:t>System prompt</w:t>
            </w:r>
          </w:p>
        </w:tc>
        <w:tc>
          <w:tcPr>
            <w:tcW w:type="dxa" w:w="2880"/>
          </w:tcPr>
          <w:p>
            <w:r>
              <w:rPr>
                <w:sz w:val="20"/>
              </w:rPr>
              <w:t>Shipped class INSTRUCTIONS</w:t>
            </w:r>
          </w:p>
        </w:tc>
        <w:tc>
          <w:tcPr>
            <w:tcW w:type="dxa" w:w="2880"/>
          </w:tcPr>
          <w:p>
            <w:r>
              <w:rPr>
                <w:sz w:val="20"/>
              </w:rPr>
              <w:t>Admin UI Agent editor (AI Hub Admin)</w:t>
            </w:r>
          </w:p>
        </w:tc>
      </w:tr>
      <w:tr>
        <w:tc>
          <w:tcPr>
            <w:tcW w:type="dxa" w:w="2880"/>
          </w:tcPr>
          <w:p>
            <w:r>
              <w:rPr>
                <w:sz w:val="20"/>
              </w:rPr>
              <w:t>Temperature</w:t>
            </w:r>
          </w:p>
        </w:tc>
        <w:tc>
          <w:tcPr>
            <w:tcW w:type="dxa" w:w="2880"/>
          </w:tcPr>
          <w:p>
            <w:r>
              <w:rPr>
                <w:sz w:val="20"/>
              </w:rPr>
              <w:t>0.3</w:t>
            </w:r>
          </w:p>
        </w:tc>
        <w:tc>
          <w:tcPr>
            <w:tcW w:type="dxa" w:w="2880"/>
          </w:tcPr>
          <w:p>
            <w:r>
              <w:rPr>
                <w:sz w:val="20"/>
              </w:rPr>
              <w:t>Admin UI slider</w:t>
            </w:r>
          </w:p>
        </w:tc>
      </w:tr>
      <w:tr>
        <w:tc>
          <w:tcPr>
            <w:tcW w:type="dxa" w:w="2880"/>
          </w:tcPr>
          <w:p>
            <w:r>
              <w:rPr>
                <w:sz w:val="20"/>
              </w:rPr>
              <w:t>Max iterations</w:t>
            </w:r>
          </w:p>
        </w:tc>
        <w:tc>
          <w:tcPr>
            <w:tcW w:type="dxa" w:w="2880"/>
          </w:tcPr>
          <w:p>
            <w:r>
              <w:rPr>
                <w:sz w:val="20"/>
              </w:rPr>
              <w:t>25</w:t>
            </w:r>
          </w:p>
        </w:tc>
        <w:tc>
          <w:tcPr>
            <w:tcW w:type="dxa" w:w="2880"/>
          </w:tcPr>
          <w:p>
            <w:r>
              <w:rPr>
                <w:sz w:val="20"/>
              </w:rPr>
              <w:t>Admin UI input</w:t>
            </w:r>
          </w:p>
        </w:tc>
      </w:tr>
      <w:tr>
        <w:tc>
          <w:tcPr>
            <w:tcW w:type="dxa" w:w="2880"/>
          </w:tcPr>
          <w:p>
            <w:r>
              <w:rPr>
                <w:sz w:val="20"/>
              </w:rPr>
              <w:t>Bound MCPs</w:t>
            </w:r>
          </w:p>
        </w:tc>
        <w:tc>
          <w:tcPr>
            <w:tcW w:type="dxa" w:w="2880"/>
          </w:tcPr>
          <w:p>
            <w:r>
              <w:rPr>
                <w:sz w:val="20"/>
              </w:rPr>
              <w:t>All 4</w:t>
            </w:r>
          </w:p>
        </w:tc>
        <w:tc>
          <w:tcPr>
            <w:tcW w:type="dxa" w:w="2880"/>
          </w:tcPr>
          <w:p>
            <w:r>
              <w:rPr>
                <w:sz w:val="20"/>
              </w:rPr>
              <w:t>Admin UI checkbox list</w:t>
            </w:r>
          </w:p>
        </w:tc>
      </w:tr>
      <w:tr>
        <w:tc>
          <w:tcPr>
            <w:tcW w:type="dxa" w:w="2880"/>
          </w:tcPr>
          <w:p>
            <w:r>
              <w:rPr>
                <w:sz w:val="20"/>
              </w:rPr>
              <w:t>Bound skills</w:t>
            </w:r>
          </w:p>
        </w:tc>
        <w:tc>
          <w:tcPr>
            <w:tcW w:type="dxa" w:w="2880"/>
          </w:tcPr>
          <w:p>
            <w:r>
              <w:rPr>
                <w:sz w:val="20"/>
              </w:rPr>
              <w:t>All 12</w:t>
            </w:r>
          </w:p>
        </w:tc>
        <w:tc>
          <w:tcPr>
            <w:tcW w:type="dxa" w:w="2880"/>
          </w:tcPr>
          <w:p>
            <w:r>
              <w:rPr>
                <w:sz w:val="20"/>
              </w:rPr>
              <w:t>Admin UI checkbox list</w:t>
            </w:r>
          </w:p>
        </w:tc>
      </w:tr>
      <w:tr>
        <w:tc>
          <w:tcPr>
            <w:tcW w:type="dxa" w:w="2880"/>
          </w:tcPr>
          <w:p>
            <w:r>
              <w:rPr>
                <w:sz w:val="20"/>
              </w:rPr>
              <w:t>LLM provider</w:t>
            </w:r>
          </w:p>
        </w:tc>
        <w:tc>
          <w:tcPr>
            <w:tcW w:type="dxa" w:w="2880"/>
          </w:tcPr>
          <w:p>
            <w:r>
              <w:rPr>
                <w:sz w:val="20"/>
              </w:rPr>
              <w:t>bedrock-default</w:t>
            </w:r>
          </w:p>
        </w:tc>
        <w:tc>
          <w:tcPr>
            <w:tcW w:type="dxa" w:w="2880"/>
          </w:tcPr>
          <w:p>
            <w:r>
              <w:rPr>
                <w:sz w:val="20"/>
              </w:rPr>
              <w:t>Admin UI dropdown</w:t>
            </w:r>
          </w:p>
        </w:tc>
      </w:tr>
      <w:tr>
        <w:tc>
          <w:tcPr>
            <w:tcW w:type="dxa" w:w="2880"/>
          </w:tcPr>
          <w:p>
            <w:r>
              <w:rPr>
                <w:sz w:val="20"/>
              </w:rPr>
              <w:t>Tool binding</w:t>
            </w:r>
          </w:p>
        </w:tc>
        <w:tc>
          <w:tcPr>
            <w:tcW w:type="dxa" w:w="2880"/>
          </w:tcPr>
          <w:p>
            <w:r>
              <w:rPr>
                <w:sz w:val="20"/>
              </w:rPr>
              <w:t>MCP chain</w:t>
            </w:r>
          </w:p>
        </w:tc>
        <w:tc>
          <w:tcPr>
            <w:tcW w:type="dxa" w:w="2880"/>
          </w:tcPr>
          <w:p>
            <w:r>
              <w:rPr>
                <w:sz w:val="20"/>
              </w:rPr>
              <w:t>Admin UI radio (mcp/bypass)</w:t>
            </w:r>
          </w:p>
        </w:tc>
      </w:tr>
    </w:tbl>
    <w:p/>
    <w:p>
      <w:pPr>
        <w:pStyle w:val="Heading2"/>
      </w:pPr>
      <w:r>
        <w:t>3.3 Overlay Pattern</w:t>
      </w:r>
    </w:p>
    <w:p>
      <w:r>
        <w:t>Shipped class defaults and user customizations both survive across IPM upgrades. Override tables (AgentOverride, MCPOverride, ToolSetOverride) store admin UI changes made by the AI Hub Admin. At build time, the Overlay class merges overrides on top of compiled defaults. 'Reset to defaults' deletes the override row.</w:t>
      </w:r>
    </w:p>
    <w:p>
      <w:r>
        <w:br w:type="page"/>
      </w:r>
    </w:p>
    <w:p>
      <w:pPr>
        <w:pStyle w:val="Heading1"/>
      </w:pPr>
      <w:r>
        <w:t>4. Skills</w:t>
      </w:r>
    </w:p>
    <w:p>
      <w:r>
        <w:t>Declarative sub-agents that package domain knowledge as markdown INSTRUCTIONS. The main agent delegates domain-specific questions to the appropriate skill rather than answering from general training data.</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7_skills_list.png"/>
                    <pic:cNvPicPr/>
                  </pic:nvPicPr>
                  <pic:blipFill>
                    <a:blip r:embed="rId11"/>
                    <a:stretch>
                      <a:fillRect/>
                    </a:stretch>
                  </pic:blipFill>
                  <pic:spPr>
                    <a:xfrm>
                      <a:off x="0" y="0"/>
                      <a:ext cx="5669280" cy="3543300"/>
                    </a:xfrm>
                    <a:prstGeom prst="rect"/>
                  </pic:spPr>
                </pic:pic>
              </a:graphicData>
            </a:graphic>
          </wp:inline>
        </w:drawing>
      </w:r>
    </w:p>
    <w:p>
      <w:pPr>
        <w:jc w:val="center"/>
      </w:pPr>
      <w:r>
        <w:rPr>
          <w:i/>
          <w:color w:val="666666"/>
          <w:sz w:val="18"/>
        </w:rPr>
        <w:t>Figure: Skills tab listing the 12 shipped skills covering IRIS interoperability domains</w:t>
      </w:r>
    </w:p>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8_skill_detail.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666666"/>
          <w:sz w:val="18"/>
        </w:rPr>
        <w:t>Figure: Skill editor showing class name, description, bound ToolSets, and expandable class source</w:t>
      </w:r>
    </w:p>
    <w:p/>
    <w:p>
      <w:pPr>
        <w:pStyle w:val="Heading2"/>
      </w:pPr>
      <w:r>
        <w:t>4.1 Skill Catalog (v1)</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Skill</w:t>
            </w:r>
          </w:p>
        </w:tc>
        <w:tc>
          <w:tcPr>
            <w:tcW w:type="dxa" w:w="2880"/>
            <w:shd w:val="clear" w:color="auto" w:fill="1A1A2E"/>
          </w:tcPr>
          <w:p>
            <w:r>
              <w:rPr>
                <w:b/>
                <w:color w:val="FFFFFF"/>
                <w:sz w:val="20"/>
              </w:rPr>
              <w:t>Domain</w:t>
            </w:r>
          </w:p>
        </w:tc>
        <w:tc>
          <w:tcPr>
            <w:tcW w:type="dxa" w:w="2880"/>
            <w:shd w:val="clear" w:color="auto" w:fill="1A1A2E"/>
          </w:tcPr>
          <w:p>
            <w:r>
              <w:rPr>
                <w:b/>
                <w:color w:val="FFFFFF"/>
                <w:sz w:val="20"/>
              </w:rPr>
              <w:t>Content Source</w:t>
            </w:r>
          </w:p>
        </w:tc>
      </w:tr>
      <w:tr>
        <w:tc>
          <w:tcPr>
            <w:tcW w:type="dxa" w:w="2880"/>
          </w:tcPr>
          <w:p>
            <w:r>
              <w:rPr>
                <w:sz w:val="20"/>
              </w:rPr>
              <w:t>Productions</w:t>
            </w:r>
          </w:p>
        </w:tc>
        <w:tc>
          <w:tcPr>
            <w:tcW w:type="dxa" w:w="2880"/>
          </w:tcPr>
          <w:p>
            <w:r>
              <w:rPr>
                <w:sz w:val="20"/>
              </w:rPr>
              <w:t>Production anatomy, BS/BP/BO patterns, settings</w:t>
            </w:r>
          </w:p>
        </w:tc>
        <w:tc>
          <w:tcPr>
            <w:tcW w:type="dxa" w:w="2880"/>
          </w:tcPr>
          <w:p>
            <w:r>
              <w:rPr>
                <w:sz w:val="20"/>
              </w:rPr>
              <w:t>IRIS documentation</w:t>
            </w:r>
          </w:p>
        </w:tc>
      </w:tr>
      <w:tr>
        <w:tc>
          <w:tcPr>
            <w:tcW w:type="dxa" w:w="2880"/>
          </w:tcPr>
          <w:p>
            <w:r>
              <w:rPr>
                <w:sz w:val="20"/>
              </w:rPr>
              <w:t>DTL</w:t>
            </w:r>
          </w:p>
        </w:tc>
        <w:tc>
          <w:tcPr>
            <w:tcW w:type="dxa" w:w="2880"/>
          </w:tcPr>
          <w:p>
            <w:r>
              <w:rPr>
                <w:sz w:val="20"/>
              </w:rPr>
              <w:t>Data Transformation Language syntax, foreach, subtransforms</w:t>
            </w:r>
          </w:p>
        </w:tc>
        <w:tc>
          <w:tcPr>
            <w:tcW w:type="dxa" w:w="2880"/>
          </w:tcPr>
          <w:p>
            <w:r>
              <w:rPr>
                <w:sz w:val="20"/>
              </w:rPr>
              <w:t>IRIS documentation</w:t>
            </w:r>
          </w:p>
        </w:tc>
      </w:tr>
      <w:tr>
        <w:tc>
          <w:tcPr>
            <w:tcW w:type="dxa" w:w="2880"/>
          </w:tcPr>
          <w:p>
            <w:r>
              <w:rPr>
                <w:sz w:val="20"/>
              </w:rPr>
              <w:t>BPL</w:t>
            </w:r>
          </w:p>
        </w:tc>
        <w:tc>
          <w:tcPr>
            <w:tcW w:type="dxa" w:w="2880"/>
          </w:tcPr>
          <w:p>
            <w:r>
              <w:rPr>
                <w:sz w:val="20"/>
              </w:rPr>
              <w:t>Business Process Language activities, compensation, async</w:t>
            </w:r>
          </w:p>
        </w:tc>
        <w:tc>
          <w:tcPr>
            <w:tcW w:type="dxa" w:w="2880"/>
          </w:tcPr>
          <w:p>
            <w:r>
              <w:rPr>
                <w:sz w:val="20"/>
              </w:rPr>
              <w:t>IRIS documentation</w:t>
            </w:r>
          </w:p>
        </w:tc>
      </w:tr>
      <w:tr>
        <w:tc>
          <w:tcPr>
            <w:tcW w:type="dxa" w:w="2880"/>
          </w:tcPr>
          <w:p>
            <w:r>
              <w:rPr>
                <w:sz w:val="20"/>
              </w:rPr>
              <w:t>RoutingRules</w:t>
            </w:r>
          </w:p>
        </w:tc>
        <w:tc>
          <w:tcPr>
            <w:tcW w:type="dxa" w:w="2880"/>
          </w:tcPr>
          <w:p>
            <w:r>
              <w:rPr>
                <w:sz w:val="20"/>
              </w:rPr>
              <w:t>Rule sets, constraints, when conditions, HL7 routing</w:t>
            </w:r>
          </w:p>
        </w:tc>
        <w:tc>
          <w:tcPr>
            <w:tcW w:type="dxa" w:w="2880"/>
          </w:tcPr>
          <w:p>
            <w:r>
              <w:rPr>
                <w:sz w:val="20"/>
              </w:rPr>
              <w:t>IRIS documentation</w:t>
            </w:r>
          </w:p>
        </w:tc>
      </w:tr>
      <w:tr>
        <w:tc>
          <w:tcPr>
            <w:tcW w:type="dxa" w:w="2880"/>
          </w:tcPr>
          <w:p>
            <w:r>
              <w:rPr>
                <w:sz w:val="20"/>
              </w:rPr>
              <w:t>HL7v2</w:t>
            </w:r>
          </w:p>
        </w:tc>
        <w:tc>
          <w:tcPr>
            <w:tcW w:type="dxa" w:w="2880"/>
          </w:tcPr>
          <w:p>
            <w:r>
              <w:rPr>
                <w:sz w:val="20"/>
              </w:rPr>
              <w:t>Message types, segments, ACK semantics, composite types</w:t>
            </w:r>
          </w:p>
        </w:tc>
        <w:tc>
          <w:tcPr>
            <w:tcW w:type="dxa" w:w="2880"/>
          </w:tcPr>
          <w:p>
            <w:r>
              <w:rPr>
                <w:sz w:val="20"/>
              </w:rPr>
              <w:t>HL7 v2 specification</w:t>
            </w:r>
          </w:p>
        </w:tc>
      </w:tr>
      <w:tr>
        <w:tc>
          <w:tcPr>
            <w:tcW w:type="dxa" w:w="2880"/>
          </w:tcPr>
          <w:p>
            <w:r>
              <w:rPr>
                <w:sz w:val="20"/>
              </w:rPr>
              <w:t>FHIRR4</w:t>
            </w:r>
          </w:p>
        </w:tc>
        <w:tc>
          <w:tcPr>
            <w:tcW w:type="dxa" w:w="2880"/>
          </w:tcPr>
          <w:p>
            <w:r>
              <w:rPr>
                <w:sz w:val="20"/>
              </w:rPr>
              <w:t>Resources, references, search params, server operations</w:t>
            </w:r>
          </w:p>
        </w:tc>
        <w:tc>
          <w:tcPr>
            <w:tcW w:type="dxa" w:w="2880"/>
          </w:tcPr>
          <w:p>
            <w:r>
              <w:rPr>
                <w:sz w:val="20"/>
              </w:rPr>
              <w:t>FHIR R4 specification</w:t>
            </w:r>
          </w:p>
        </w:tc>
      </w:tr>
      <w:tr>
        <w:tc>
          <w:tcPr>
            <w:tcW w:type="dxa" w:w="2880"/>
          </w:tcPr>
          <w:p>
            <w:r>
              <w:rPr>
                <w:sz w:val="20"/>
              </w:rPr>
              <w:t>SDA</w:t>
            </w:r>
          </w:p>
        </w:tc>
        <w:tc>
          <w:tcPr>
            <w:tcW w:type="dxa" w:w="2880"/>
          </w:tcPr>
          <w:p>
            <w:r>
              <w:rPr>
                <w:sz w:val="20"/>
              </w:rPr>
              <w:t>SDA3 model, common pitfalls, mapping to FHIR</w:t>
            </w:r>
          </w:p>
        </w:tc>
        <w:tc>
          <w:tcPr>
            <w:tcW w:type="dxa" w:w="2880"/>
          </w:tcPr>
          <w:p>
            <w:r>
              <w:rPr>
                <w:sz w:val="20"/>
              </w:rPr>
              <w:t>IRIS documentation</w:t>
            </w:r>
          </w:p>
        </w:tc>
      </w:tr>
      <w:tr>
        <w:tc>
          <w:tcPr>
            <w:tcW w:type="dxa" w:w="2880"/>
          </w:tcPr>
          <w:p>
            <w:r>
              <w:rPr>
                <w:sz w:val="20"/>
              </w:rPr>
              <w:t>RestInProductions</w:t>
            </w:r>
          </w:p>
        </w:tc>
        <w:tc>
          <w:tcPr>
            <w:tcW w:type="dxa" w:w="2880"/>
          </w:tcPr>
          <w:p>
            <w:r>
              <w:rPr>
                <w:sz w:val="20"/>
              </w:rPr>
              <w:t>RESTful services inside productions, HTTP adapters</w:t>
            </w:r>
          </w:p>
        </w:tc>
        <w:tc>
          <w:tcPr>
            <w:tcW w:type="dxa" w:w="2880"/>
          </w:tcPr>
          <w:p>
            <w:r>
              <w:rPr>
                <w:sz w:val="20"/>
              </w:rPr>
              <w:t>IRIS documentation</w:t>
            </w:r>
          </w:p>
        </w:tc>
      </w:tr>
      <w:tr>
        <w:tc>
          <w:tcPr>
            <w:tcW w:type="dxa" w:w="2880"/>
          </w:tcPr>
          <w:p>
            <w:r>
              <w:rPr>
                <w:sz w:val="20"/>
              </w:rPr>
              <w:t>ESBPattern</w:t>
            </w:r>
          </w:p>
        </w:tc>
        <w:tc>
          <w:tcPr>
            <w:tcW w:type="dxa" w:w="2880"/>
          </w:tcPr>
          <w:p>
            <w:r>
              <w:rPr>
                <w:sz w:val="20"/>
              </w:rPr>
              <w:t>Enterprise Service Bus patterns, routing, transformation</w:t>
            </w:r>
          </w:p>
        </w:tc>
        <w:tc>
          <w:tcPr>
            <w:tcW w:type="dxa" w:w="2880"/>
          </w:tcPr>
          <w:p>
            <w:r>
              <w:rPr>
                <w:sz w:val="20"/>
              </w:rPr>
              <w:t>Architecture guides</w:t>
            </w:r>
          </w:p>
        </w:tc>
      </w:tr>
      <w:tr>
        <w:tc>
          <w:tcPr>
            <w:tcW w:type="dxa" w:w="2880"/>
          </w:tcPr>
          <w:p>
            <w:r>
              <w:rPr>
                <w:sz w:val="20"/>
              </w:rPr>
              <w:t>X12</w:t>
            </w:r>
          </w:p>
        </w:tc>
        <w:tc>
          <w:tcPr>
            <w:tcW w:type="dxa" w:w="2880"/>
          </w:tcPr>
          <w:p>
            <w:r>
              <w:rPr>
                <w:sz w:val="20"/>
              </w:rPr>
              <w:t>X12 transaction sets, EDI healthcare claims</w:t>
            </w:r>
          </w:p>
        </w:tc>
        <w:tc>
          <w:tcPr>
            <w:tcW w:type="dxa" w:w="2880"/>
          </w:tcPr>
          <w:p>
            <w:r>
              <w:rPr>
                <w:sz w:val="20"/>
              </w:rPr>
              <w:t>X12 specification</w:t>
            </w:r>
          </w:p>
        </w:tc>
      </w:tr>
      <w:tr>
        <w:tc>
          <w:tcPr>
            <w:tcW w:type="dxa" w:w="2880"/>
          </w:tcPr>
          <w:p>
            <w:r>
              <w:rPr>
                <w:sz w:val="20"/>
              </w:rPr>
              <w:t>CDA</w:t>
            </w:r>
          </w:p>
        </w:tc>
        <w:tc>
          <w:tcPr>
            <w:tcW w:type="dxa" w:w="2880"/>
          </w:tcPr>
          <w:p>
            <w:r>
              <w:rPr>
                <w:sz w:val="20"/>
              </w:rPr>
              <w:t>Clinical Document Architecture, CCD, C-CDA</w:t>
            </w:r>
          </w:p>
        </w:tc>
        <w:tc>
          <w:tcPr>
            <w:tcW w:type="dxa" w:w="2880"/>
          </w:tcPr>
          <w:p>
            <w:r>
              <w:rPr>
                <w:sz w:val="20"/>
              </w:rPr>
              <w:t>CDA specification</w:t>
            </w:r>
          </w:p>
        </w:tc>
      </w:tr>
      <w:tr>
        <w:tc>
          <w:tcPr>
            <w:tcW w:type="dxa" w:w="2880"/>
          </w:tcPr>
          <w:p>
            <w:r>
              <w:rPr>
                <w:sz w:val="20"/>
              </w:rPr>
              <w:t>Adapters</w:t>
            </w:r>
          </w:p>
        </w:tc>
        <w:tc>
          <w:tcPr>
            <w:tcW w:type="dxa" w:w="2880"/>
          </w:tcPr>
          <w:p>
            <w:r>
              <w:rPr>
                <w:sz w:val="20"/>
              </w:rPr>
              <w:t>Inbound/outbound adapters, TCP, HTTP, SOAP, file, FTP</w:t>
            </w:r>
          </w:p>
        </w:tc>
        <w:tc>
          <w:tcPr>
            <w:tcW w:type="dxa" w:w="2880"/>
          </w:tcPr>
          <w:p>
            <w:r>
              <w:rPr>
                <w:sz w:val="20"/>
              </w:rPr>
              <w:t>IRIS documentation</w:t>
            </w:r>
          </w:p>
        </w:tc>
      </w:tr>
    </w:tbl>
    <w:p/>
    <w:p>
      <w:pPr>
        <w:pStyle w:val="Heading2"/>
      </w:pPr>
      <w:r>
        <w:t>4.2 Skill Registration</w:t>
      </w:r>
    </w:p>
    <w:p>
      <w:r>
        <w:t>Skills extend AgenticInterop.Skill.Base (not %AI.Agent.Skill directly -- see Lessons Learned for the bug that required this extension). At agent build time, SkillLoader discovers all Skill.Base subclasses, instantiates them, and registers them as tools in the agent's tool catalog.</w:t>
      </w:r>
    </w:p>
    <w:p>
      <w:r>
        <w:br w:type="page"/>
      </w:r>
    </w:p>
    <w:p>
      <w:pPr>
        <w:pStyle w:val="Heading1"/>
      </w:pPr>
      <w:r>
        <w:t>5. MCP Servers</w:t>
      </w:r>
    </w:p>
    <w:p>
      <w:r>
        <w:t>Four internal MCP (Model Context Protocol) servers group related capabilities into named service domains. Each MCP maps to one or more ToolSets.</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3_mcps_list.png"/>
                    <pic:cNvPicPr/>
                  </pic:nvPicPr>
                  <pic:blipFill>
                    <a:blip r:embed="rId13"/>
                    <a:stretch>
                      <a:fillRect/>
                    </a:stretch>
                  </pic:blipFill>
                  <pic:spPr>
                    <a:xfrm>
                      <a:off x="0" y="0"/>
                      <a:ext cx="5669280" cy="3543300"/>
                    </a:xfrm>
                    <a:prstGeom prst="rect"/>
                  </pic:spPr>
                </pic:pic>
              </a:graphicData>
            </a:graphic>
          </wp:inline>
        </w:drawing>
      </w:r>
    </w:p>
    <w:p>
      <w:pPr>
        <w:jc w:val="center"/>
      </w:pPr>
      <w:r>
        <w:rPr>
          <w:i/>
          <w:color w:val="666666"/>
          <w:sz w:val="18"/>
        </w:rPr>
        <w:t>Figure: MCP servers: catalog, production, testing, and transform</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MCP Server</w:t>
            </w:r>
          </w:p>
        </w:tc>
        <w:tc>
          <w:tcPr>
            <w:tcW w:type="dxa" w:w="2880"/>
            <w:shd w:val="clear" w:color="auto" w:fill="1A1A2E"/>
          </w:tcPr>
          <w:p>
            <w:r>
              <w:rPr>
                <w:b/>
                <w:color w:val="FFFFFF"/>
                <w:sz w:val="20"/>
              </w:rPr>
              <w:t>ToolSets</w:t>
            </w:r>
          </w:p>
        </w:tc>
        <w:tc>
          <w:tcPr>
            <w:tcW w:type="dxa" w:w="2880"/>
            <w:shd w:val="clear" w:color="auto" w:fill="1A1A2E"/>
          </w:tcPr>
          <w:p>
            <w:r>
              <w:rPr>
                <w:b/>
                <w:color w:val="FFFFFF"/>
                <w:sz w:val="20"/>
              </w:rPr>
              <w:t>Purpose</w:t>
            </w:r>
          </w:p>
        </w:tc>
      </w:tr>
      <w:tr>
        <w:tc>
          <w:tcPr>
            <w:tcW w:type="dxa" w:w="2880"/>
          </w:tcPr>
          <w:p>
            <w:r>
              <w:rPr>
                <w:sz w:val="20"/>
              </w:rPr>
              <w:t>mcp.production</w:t>
            </w:r>
          </w:p>
        </w:tc>
        <w:tc>
          <w:tcPr>
            <w:tcW w:type="dxa" w:w="2880"/>
          </w:tcPr>
          <w:p>
            <w:r>
              <w:rPr>
                <w:sz w:val="20"/>
              </w:rPr>
              <w:t>Production</w:t>
            </w:r>
          </w:p>
        </w:tc>
        <w:tc>
          <w:tcPr>
            <w:tcW w:type="dxa" w:w="2880"/>
          </w:tcPr>
          <w:p>
            <w:r>
              <w:rPr>
                <w:sz w:val="20"/>
              </w:rPr>
              <w:t>CRUD productions, business hosts, settings, start/stop</w:t>
            </w:r>
          </w:p>
        </w:tc>
      </w:tr>
      <w:tr>
        <w:tc>
          <w:tcPr>
            <w:tcW w:type="dxa" w:w="2880"/>
          </w:tcPr>
          <w:p>
            <w:r>
              <w:rPr>
                <w:sz w:val="20"/>
              </w:rPr>
              <w:t>mcp.transform</w:t>
            </w:r>
          </w:p>
        </w:tc>
        <w:tc>
          <w:tcPr>
            <w:tcW w:type="dxa" w:w="2880"/>
          </w:tcPr>
          <w:p>
            <w:r>
              <w:rPr>
                <w:sz w:val="20"/>
              </w:rPr>
              <w:t>Transform</w:t>
            </w:r>
          </w:p>
        </w:tc>
        <w:tc>
          <w:tcPr>
            <w:tcW w:type="dxa" w:w="2880"/>
          </w:tcPr>
          <w:p>
            <w:r>
              <w:rPr>
                <w:sz w:val="20"/>
              </w:rPr>
              <w:t>CRUD DTL/BPL, routing rules, lookup tables, HL7 schema</w:t>
            </w:r>
          </w:p>
        </w:tc>
      </w:tr>
      <w:tr>
        <w:tc>
          <w:tcPr>
            <w:tcW w:type="dxa" w:w="2880"/>
          </w:tcPr>
          <w:p>
            <w:r>
              <w:rPr>
                <w:sz w:val="20"/>
              </w:rPr>
              <w:t>mcp.testing</w:t>
            </w:r>
          </w:p>
        </w:tc>
        <w:tc>
          <w:tcPr>
            <w:tcW w:type="dxa" w:w="2880"/>
          </w:tcPr>
          <w:p>
            <w:r>
              <w:rPr>
                <w:sz w:val="20"/>
              </w:rPr>
              <w:t>Testing</w:t>
            </w:r>
          </w:p>
        </w:tc>
        <w:tc>
          <w:tcPr>
            <w:tcW w:type="dxa" w:w="2880"/>
          </w:tcPr>
          <w:p>
            <w:r>
              <w:rPr>
                <w:sz w:val="20"/>
              </w:rPr>
              <w:t>Send HL7/FHIR messages, validate, compare</w:t>
            </w:r>
          </w:p>
        </w:tc>
      </w:tr>
      <w:tr>
        <w:tc>
          <w:tcPr>
            <w:tcW w:type="dxa" w:w="2880"/>
          </w:tcPr>
          <w:p>
            <w:r>
              <w:rPr>
                <w:sz w:val="20"/>
              </w:rPr>
              <w:t>mcp.catalog</w:t>
            </w:r>
          </w:p>
        </w:tc>
        <w:tc>
          <w:tcPr>
            <w:tcW w:type="dxa" w:w="2880"/>
          </w:tcPr>
          <w:p>
            <w:r>
              <w:rPr>
                <w:sz w:val="20"/>
              </w:rPr>
              <w:t>Catalog, Monitoring</w:t>
            </w:r>
          </w:p>
        </w:tc>
        <w:tc>
          <w:tcPr>
            <w:tcW w:type="dxa" w:w="2880"/>
          </w:tcPr>
          <w:p>
            <w:r>
              <w:rPr>
                <w:sz w:val="20"/>
              </w:rPr>
              <w:t>Vector search, class introspection, event log, throughput</w:t>
            </w:r>
          </w:p>
        </w:tc>
      </w:tr>
    </w:tbl>
    <w:p/>
    <w:p>
      <w:r>
        <w:br w:type="page"/>
      </w:r>
    </w:p>
    <w:p>
      <w:pPr>
        <w:pStyle w:val="Heading1"/>
      </w:pPr>
      <w:r>
        <w:t>6. Tools</w:t>
      </w:r>
    </w:p>
    <w:p>
      <w:r>
        <w:t>42 tools across 5 tool classes implement the agent's capabilities. Each tool is a method with [Tool] annotation, JSON Schema input/output, and a natural-language description.</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5_tools_list.png"/>
                    <pic:cNvPicPr/>
                  </pic:nvPicPr>
                  <pic:blipFill>
                    <a:blip r:embed="rId14"/>
                    <a:stretch>
                      <a:fillRect/>
                    </a:stretch>
                  </pic:blipFill>
                  <pic:spPr>
                    <a:xfrm>
                      <a:off x="0" y="0"/>
                      <a:ext cx="5669280" cy="3543300"/>
                    </a:xfrm>
                    <a:prstGeom prst="rect"/>
                  </pic:spPr>
                </pic:pic>
              </a:graphicData>
            </a:graphic>
          </wp:inline>
        </w:drawing>
      </w:r>
    </w:p>
    <w:p>
      <w:pPr>
        <w:jc w:val="center"/>
      </w:pPr>
      <w:r>
        <w:rPr>
          <w:i/>
          <w:color w:val="666666"/>
          <w:sz w:val="18"/>
        </w:rPr>
        <w:t>Figure: All 42 tools listed across the five ToolSet classes</w:t>
      </w:r>
    </w:p>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6_tool_detail.png"/>
                    <pic:cNvPicPr/>
                  </pic:nvPicPr>
                  <pic:blipFill>
                    <a:blip r:embed="rId15"/>
                    <a:stretch>
                      <a:fillRect/>
                    </a:stretch>
                  </pic:blipFill>
                  <pic:spPr>
                    <a:xfrm>
                      <a:off x="0" y="0"/>
                      <a:ext cx="5669280" cy="3543300"/>
                    </a:xfrm>
                    <a:prstGeom prst="rect"/>
                  </pic:spPr>
                </pic:pic>
              </a:graphicData>
            </a:graphic>
          </wp:inline>
        </w:drawing>
      </w:r>
    </w:p>
    <w:p>
      <w:pPr>
        <w:jc w:val="center"/>
      </w:pPr>
      <w:r>
        <w:rPr>
          <w:i/>
          <w:color w:val="666666"/>
          <w:sz w:val="18"/>
        </w:rPr>
        <w:t>Figure: Tool detail editor showing the LLM contract description, method signature, input schema, and configuration</w:t>
      </w:r>
    </w:p>
    <w:p/>
    <w:p>
      <w:pPr>
        <w:pStyle w:val="Heading2"/>
      </w:pPr>
      <w:r>
        <w:t>6.1 Tool Catalog by ToolSet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ToolSet</w:t>
            </w:r>
          </w:p>
        </w:tc>
        <w:tc>
          <w:tcPr>
            <w:tcW w:type="dxa" w:w="2880"/>
            <w:shd w:val="clear" w:color="auto" w:fill="1A1A2E"/>
          </w:tcPr>
          <w:p>
            <w:r>
              <w:rPr>
                <w:b/>
                <w:color w:val="FFFFFF"/>
                <w:sz w:val="20"/>
              </w:rPr>
              <w:t>Tool Count</w:t>
            </w:r>
          </w:p>
        </w:tc>
        <w:tc>
          <w:tcPr>
            <w:tcW w:type="dxa" w:w="2880"/>
            <w:shd w:val="clear" w:color="auto" w:fill="1A1A2E"/>
          </w:tcPr>
          <w:p>
            <w:r>
              <w:rPr>
                <w:b/>
                <w:color w:val="FFFFFF"/>
                <w:sz w:val="20"/>
              </w:rPr>
              <w:t>Tools</w:t>
            </w:r>
          </w:p>
        </w:tc>
      </w:tr>
      <w:tr>
        <w:tc>
          <w:tcPr>
            <w:tcW w:type="dxa" w:w="2880"/>
          </w:tcPr>
          <w:p>
            <w:r>
              <w:rPr>
                <w:sz w:val="20"/>
              </w:rPr>
              <w:t>Production</w:t>
            </w:r>
          </w:p>
        </w:tc>
        <w:tc>
          <w:tcPr>
            <w:tcW w:type="dxa" w:w="2880"/>
          </w:tcPr>
          <w:p>
            <w:r>
              <w:rPr>
                <w:sz w:val="20"/>
              </w:rPr>
              <w:t>13</w:t>
            </w:r>
          </w:p>
        </w:tc>
        <w:tc>
          <w:tcPr>
            <w:tcW w:type="dxa" w:w="2880"/>
          </w:tcPr>
          <w:p>
            <w:r>
              <w:rPr>
                <w:sz w:val="20"/>
              </w:rPr>
              <w:t>list_productions, get_production, create_production, delete_production, start_production, stop_production, add_business_host, remove_business_host, update_settings, PostBuildValidation, ...</w:t>
            </w:r>
          </w:p>
        </w:tc>
      </w:tr>
      <w:tr>
        <w:tc>
          <w:tcPr>
            <w:tcW w:type="dxa" w:w="2880"/>
          </w:tcPr>
          <w:p>
            <w:r>
              <w:rPr>
                <w:sz w:val="20"/>
              </w:rPr>
              <w:t>Transform</w:t>
            </w:r>
          </w:p>
        </w:tc>
        <w:tc>
          <w:tcPr>
            <w:tcW w:type="dxa" w:w="2880"/>
          </w:tcPr>
          <w:p>
            <w:r>
              <w:rPr>
                <w:sz w:val="20"/>
              </w:rPr>
              <w:t>13</w:t>
            </w:r>
          </w:p>
        </w:tc>
        <w:tc>
          <w:tcPr>
            <w:tcW w:type="dxa" w:w="2880"/>
          </w:tcPr>
          <w:p>
            <w:r>
              <w:rPr>
                <w:sz w:val="20"/>
              </w:rPr>
              <w:t>list_dtls, get_dtl, create_dtl, update_dtl, compile_dtl, delete_dtl, list_bpls, create_bpl, list_routing_rules, create_routing_rule, introspect_hl7_schema, ...</w:t>
            </w:r>
          </w:p>
        </w:tc>
      </w:tr>
      <w:tr>
        <w:tc>
          <w:tcPr>
            <w:tcW w:type="dxa" w:w="2880"/>
          </w:tcPr>
          <w:p>
            <w:r>
              <w:rPr>
                <w:sz w:val="20"/>
              </w:rPr>
              <w:t>Testing</w:t>
            </w:r>
          </w:p>
        </w:tc>
        <w:tc>
          <w:tcPr>
            <w:tcW w:type="dxa" w:w="2880"/>
          </w:tcPr>
          <w:p>
            <w:r>
              <w:rPr>
                <w:sz w:val="20"/>
              </w:rPr>
              <w:t>8</w:t>
            </w:r>
          </w:p>
        </w:tc>
        <w:tc>
          <w:tcPr>
            <w:tcW w:type="dxa" w:w="2880"/>
          </w:tcPr>
          <w:p>
            <w:r>
              <w:rPr>
                <w:sz w:val="20"/>
              </w:rPr>
              <w:t>send_hl7, send_fhir, validate_hl7_structure, validate_fhir_resource, compare_messages, BuildAndSendHL7TestMessage, ...</w:t>
            </w:r>
          </w:p>
        </w:tc>
      </w:tr>
      <w:tr>
        <w:tc>
          <w:tcPr>
            <w:tcW w:type="dxa" w:w="2880"/>
          </w:tcPr>
          <w:p>
            <w:r>
              <w:rPr>
                <w:sz w:val="20"/>
              </w:rPr>
              <w:t>Catalog</w:t>
            </w:r>
          </w:p>
        </w:tc>
        <w:tc>
          <w:tcPr>
            <w:tcW w:type="dxa" w:w="2880"/>
          </w:tcPr>
          <w:p>
            <w:r>
              <w:rPr>
                <w:sz w:val="20"/>
              </w:rPr>
              <w:t>8</w:t>
            </w:r>
          </w:p>
        </w:tc>
        <w:tc>
          <w:tcPr>
            <w:tcW w:type="dxa" w:w="2880"/>
          </w:tcPr>
          <w:p>
            <w:r>
              <w:rPr>
                <w:sz w:val="20"/>
              </w:rPr>
              <w:t>search_ens, search_hs, describe_class, get_namespace, list_classes, lookup_reference, search_glossary, ...</w:t>
            </w:r>
          </w:p>
        </w:tc>
      </w:tr>
      <w:tr>
        <w:tc>
          <w:tcPr>
            <w:tcW w:type="dxa" w:w="2880"/>
          </w:tcPr>
          <w:p>
            <w:r>
              <w:rPr>
                <w:sz w:val="20"/>
              </w:rPr>
              <w:t>Monitoring</w:t>
            </w:r>
          </w:p>
        </w:tc>
        <w:tc>
          <w:tcPr>
            <w:tcW w:type="dxa" w:w="2880"/>
          </w:tcPr>
          <w:p>
            <w:r>
              <w:rPr>
                <w:sz w:val="20"/>
              </w:rPr>
              <w:t>6</w:t>
            </w:r>
          </w:p>
        </w:tc>
        <w:tc>
          <w:tcPr>
            <w:tcW w:type="dxa" w:w="2880"/>
          </w:tcPr>
          <w:p>
            <w:r>
              <w:rPr>
                <w:sz w:val="20"/>
              </w:rPr>
              <w:t>query_event_log, group_errors, message_status, throughput_stats, queue_depth, ...</w:t>
            </w:r>
          </w:p>
        </w:tc>
      </w:tr>
    </w:tbl>
    <w:p/>
    <w:p>
      <w:pPr>
        <w:pStyle w:val="Heading2"/>
      </w:pPr>
      <w:r>
        <w:t>6.2 Tool Policies</w:t>
      </w:r>
    </w:p>
    <w:p>
      <w:pPr>
        <w:pStyle w:val="ListBullet"/>
      </w:pPr>
      <w:r>
        <w:t>ConfirmationGate: Mutating tools require explicit End User approval before execution.</w:t>
      </w:r>
    </w:p>
    <w:p>
      <w:pPr>
        <w:pStyle w:val="ListBullet"/>
      </w:pPr>
      <w:r>
        <w:t>ToolFilter: Strips framework waste tools (FileSystem, SQL, ShellTools) from the LLM catalog. Saves ~5K tokens per request.</w:t>
      </w:r>
    </w:p>
    <w:p>
      <w:r>
        <w:br w:type="page"/>
      </w:r>
    </w:p>
    <w:p>
      <w:pPr>
        <w:pStyle w:val="Heading1"/>
      </w:pPr>
      <w:r>
        <w:t>7. Vector Catalogs</w:t>
      </w:r>
    </w:p>
    <w:p>
      <w:r>
        <w:t>Two semantic search catalogs index the IRIS class library so the agent can find relevant Business Hosts, adapters, and transformation classes by natural-language query.</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11_catalogs.png"/>
                    <pic:cNvPicPr/>
                  </pic:nvPicPr>
                  <pic:blipFill>
                    <a:blip r:embed="rId16"/>
                    <a:stretch>
                      <a:fillRect/>
                    </a:stretch>
                  </pic:blipFill>
                  <pic:spPr>
                    <a:xfrm>
                      <a:off x="0" y="0"/>
                      <a:ext cx="5669280" cy="3543300"/>
                    </a:xfrm>
                    <a:prstGeom prst="rect"/>
                  </pic:spPr>
                </pic:pic>
              </a:graphicData>
            </a:graphic>
          </wp:inline>
        </w:drawing>
      </w:r>
    </w:p>
    <w:p>
      <w:pPr>
        <w:jc w:val="center"/>
      </w:pPr>
      <w:r>
        <w:rPr>
          <w:i/>
          <w:color w:val="666666"/>
          <w:sz w:val="18"/>
        </w:rPr>
        <w:t>Figure: Catalogs tab showing search_ens (164 rows) and search_hs (58 rows) with kind breakdowns, rebuild controls, and test search panel</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1A2E"/>
          </w:tcPr>
          <w:p>
            <w:r>
              <w:rPr>
                <w:b/>
                <w:color w:val="FFFFFF"/>
                <w:sz w:val="20"/>
              </w:rPr>
              <w:t>Catalog</w:t>
            </w:r>
          </w:p>
        </w:tc>
        <w:tc>
          <w:tcPr>
            <w:tcW w:type="dxa" w:w="2160"/>
            <w:shd w:val="clear" w:color="auto" w:fill="1A1A2E"/>
          </w:tcPr>
          <w:p>
            <w:r>
              <w:rPr>
                <w:b/>
                <w:color w:val="FFFFFF"/>
                <w:sz w:val="20"/>
              </w:rPr>
              <w:t>Name</w:t>
            </w:r>
          </w:p>
        </w:tc>
        <w:tc>
          <w:tcPr>
            <w:tcW w:type="dxa" w:w="2160"/>
            <w:shd w:val="clear" w:color="auto" w:fill="1A1A2E"/>
          </w:tcPr>
          <w:p>
            <w:r>
              <w:rPr>
                <w:b/>
                <w:color w:val="FFFFFF"/>
                <w:sz w:val="20"/>
              </w:rPr>
              <w:t>Row Count</w:t>
            </w:r>
          </w:p>
        </w:tc>
        <w:tc>
          <w:tcPr>
            <w:tcW w:type="dxa" w:w="2160"/>
            <w:shd w:val="clear" w:color="auto" w:fill="1A1A2E"/>
          </w:tcPr>
          <w:p>
            <w:r>
              <w:rPr>
                <w:b/>
                <w:color w:val="FFFFFF"/>
                <w:sz w:val="20"/>
              </w:rPr>
              <w:t>Source</w:t>
            </w:r>
          </w:p>
        </w:tc>
      </w:tr>
      <w:tr>
        <w:tc>
          <w:tcPr>
            <w:tcW w:type="dxa" w:w="2160"/>
          </w:tcPr>
          <w:p>
            <w:r>
              <w:rPr>
                <w:sz w:val="20"/>
              </w:rPr>
              <w:t>Ens.*</w:t>
            </w:r>
          </w:p>
        </w:tc>
        <w:tc>
          <w:tcPr>
            <w:tcW w:type="dxa" w:w="2160"/>
          </w:tcPr>
          <w:p>
            <w:r>
              <w:rPr>
                <w:sz w:val="20"/>
              </w:rPr>
              <w:t>search_ens</w:t>
            </w:r>
          </w:p>
        </w:tc>
        <w:tc>
          <w:tcPr>
            <w:tcW w:type="dxa" w:w="2160"/>
          </w:tcPr>
          <w:p>
            <w:r>
              <w:rPr>
                <w:sz w:val="20"/>
              </w:rPr>
              <w:t>164</w:t>
            </w:r>
          </w:p>
        </w:tc>
        <w:tc>
          <w:tcPr>
            <w:tcW w:type="dxa" w:w="2160"/>
          </w:tcPr>
          <w:p>
            <w:r>
              <w:rPr>
                <w:sz w:val="20"/>
              </w:rPr>
              <w:t>%Dictionary for Ens.Host, Ens.BusinessService, Ens.BusinessProcess, Ens.BusinessOperation, adapters</w:t>
            </w:r>
          </w:p>
        </w:tc>
      </w:tr>
      <w:tr>
        <w:tc>
          <w:tcPr>
            <w:tcW w:type="dxa" w:w="2160"/>
          </w:tcPr>
          <w:p>
            <w:r>
              <w:rPr>
                <w:sz w:val="20"/>
              </w:rPr>
              <w:t>HS.*</w:t>
            </w:r>
          </w:p>
        </w:tc>
        <w:tc>
          <w:tcPr>
            <w:tcW w:type="dxa" w:w="2160"/>
          </w:tcPr>
          <w:p>
            <w:r>
              <w:rPr>
                <w:sz w:val="20"/>
              </w:rPr>
              <w:t>search_hs</w:t>
            </w:r>
          </w:p>
        </w:tc>
        <w:tc>
          <w:tcPr>
            <w:tcW w:type="dxa" w:w="2160"/>
          </w:tcPr>
          <w:p>
            <w:r>
              <w:rPr>
                <w:sz w:val="20"/>
              </w:rPr>
              <w:t>58</w:t>
            </w:r>
          </w:p>
        </w:tc>
        <w:tc>
          <w:tcPr>
            <w:tcW w:type="dxa" w:w="2160"/>
          </w:tcPr>
          <w:p>
            <w:r>
              <w:rPr>
                <w:sz w:val="20"/>
              </w:rPr>
              <w:t>%Dictionary for HS.* transformation classes, FHIR mappers, SDA helpers</w:t>
            </w:r>
          </w:p>
        </w:tc>
      </w:tr>
    </w:tbl>
    <w:p/>
    <w:p>
      <w:pPr>
        <w:pStyle w:val="Heading2"/>
      </w:pPr>
      <w:r>
        <w:t>7.1 Technical Implementation</w:t>
      </w:r>
    </w:p>
    <w:p>
      <w:pPr>
        <w:pStyle w:val="ListBullet"/>
      </w:pPr>
      <w:r>
        <w:t>Embedding model: FastEmbed (384-dimensional vectors, bundled with IRIS)</w:t>
      </w:r>
    </w:p>
    <w:p>
      <w:pPr>
        <w:pStyle w:val="ListBullet"/>
      </w:pPr>
      <w:r>
        <w:t>Vector storage: %AI.RAG.KnowledgeBase with HNSW index</w:t>
      </w:r>
    </w:p>
    <w:p>
      <w:pPr>
        <w:pStyle w:val="ListBullet"/>
      </w:pPr>
      <w:r>
        <w:t>Query path: %AI.ToolMgr.ExecuteTool(kbName, args) -- the only working path (SQL EMBEDDING() does not work with FastEmbed)</w:t>
      </w:r>
    </w:p>
    <w:p>
      <w:pPr>
        <w:pStyle w:val="ListBullet"/>
      </w:pPr>
      <w:r>
        <w:t>Document format: Curated prose descriptions, not raw method signatures</w:t>
      </w:r>
    </w:p>
    <w:p>
      <w:r>
        <w:br w:type="page"/>
      </w:r>
    </w:p>
    <w:p>
      <w:pPr>
        <w:pStyle w:val="Heading1"/>
      </w:pPr>
      <w:r>
        <w:t>8. Transformation and Mapping Catalog</w:t>
      </w:r>
    </w:p>
    <w:p>
      <w:r>
        <w:t>A visual field-level mapping explorer showing how data flows between external formats (HL7 v2, FHIR R4, CDA, X12) through the SDA3 canonical model.</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12_transforms_empty.png"/>
                    <pic:cNvPicPr/>
                  </pic:nvPicPr>
                  <pic:blipFill>
                    <a:blip r:embed="rId17"/>
                    <a:stretch>
                      <a:fillRect/>
                    </a:stretch>
                  </pic:blipFill>
                  <pic:spPr>
                    <a:xfrm>
                      <a:off x="0" y="0"/>
                      <a:ext cx="5669280" cy="3543300"/>
                    </a:xfrm>
                    <a:prstGeom prst="rect"/>
                  </pic:spPr>
                </pic:pic>
              </a:graphicData>
            </a:graphic>
          </wp:inline>
        </w:drawing>
      </w:r>
    </w:p>
    <w:p>
      <w:pPr>
        <w:jc w:val="center"/>
      </w:pPr>
      <w:r>
        <w:rPr>
          <w:i/>
          <w:color w:val="666666"/>
          <w:sz w:val="18"/>
        </w:rPr>
        <w:t>Figure: Transforms tab initial state: format pair selection with 1,538 pre-computed rows</w:t>
      </w:r>
    </w:p>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13_transforms_hl7_fhir.png"/>
                    <pic:cNvPicPr/>
                  </pic:nvPicPr>
                  <pic:blipFill>
                    <a:blip r:embed="rId18"/>
                    <a:stretch>
                      <a:fillRect/>
                    </a:stretch>
                  </pic:blipFill>
                  <pic:spPr>
                    <a:xfrm>
                      <a:off x="0" y="0"/>
                      <a:ext cx="5669280" cy="3543300"/>
                    </a:xfrm>
                    <a:prstGeom prst="rect"/>
                  </pic:spPr>
                </pic:pic>
              </a:graphicData>
            </a:graphic>
          </wp:inline>
        </w:drawing>
      </w:r>
    </w:p>
    <w:p>
      <w:pPr>
        <w:jc w:val="center"/>
      </w:pPr>
      <w:r>
        <w:rPr>
          <w:i/>
          <w:color w:val="666666"/>
          <w:sz w:val="18"/>
        </w:rPr>
        <w:t>Figure: Transformation and Mapping Catalog with HL7 v2 to FHIR R4 selected, showing SDA3.Address mappings at sub-field level with IRIS class names and coverage filters</w:t>
      </w:r>
    </w:p>
    <w:p/>
    <w:p>
      <w:pPr>
        <w:pStyle w:val="Heading2"/>
      </w:pPr>
      <w:r>
        <w:t>8.1 Data Flow Model</w:t>
      </w:r>
    </w:p>
    <w:p>
      <w:r>
        <w:t>SDA3 is the universal pivot: all external formats map through it.</w:t>
      </w:r>
    </w:p>
    <w:p>
      <w:r>
        <w:t>HL7 v2 (inbound) --&gt; SDA3 (canonical) --&gt; FHIR R4 (outbound)</w:t>
      </w:r>
    </w:p>
    <w:p>
      <w:r>
        <w:t>Example: PID.11.3 City --&gt; City --&gt; city</w:t>
      </w:r>
    </w:p>
    <w:p>
      <w:pPr>
        <w:pStyle w:val="Heading2"/>
      </w:pPr>
      <w:r>
        <w:t>8.2 Data Sources</w:t>
      </w:r>
    </w:p>
    <w:p>
      <w:pPr>
        <w:pStyle w:val="ListBullet"/>
      </w:pPr>
      <w:r>
        <w:t>HL7 to SDA3: Programmatic extraction from HS.Gateway.HL7.HL7ToSDA3 ObjectScript methods (not DTL)</w:t>
      </w:r>
    </w:p>
    <w:p>
      <w:pPr>
        <w:pStyle w:val="ListBullet"/>
      </w:pPr>
      <w:r>
        <w:t>SDA3 to FHIR: DTL class analysis via HS.FHIR.DTL.SDA3.vR4.* with backward-walk algorithm</w:t>
      </w:r>
    </w:p>
    <w:p>
      <w:pPr>
        <w:pStyle w:val="ListBullet"/>
      </w:pPr>
      <w:r>
        <w:t>Sub-field enrichment: Static lookup mapping composite HL7 types (XAD, XPN, CX, XTN) to component fields</w:t>
      </w:r>
    </w:p>
    <w:p>
      <w:r>
        <w:br w:type="page"/>
      </w:r>
    </w:p>
    <w:p>
      <w:pPr>
        <w:pStyle w:val="Heading1"/>
      </w:pPr>
      <w:r>
        <w:t>9. Connection Management</w:t>
      </w:r>
    </w:p>
    <w:p>
      <w:r>
        <w:t>A multi-provider LLM connection manager that stores credentials securely and provides health-check (connection test) functionality. Managed by the AI Hub Admin.</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10_connection_detail.png"/>
                    <pic:cNvPicPr/>
                  </pic:nvPicPr>
                  <pic:blipFill>
                    <a:blip r:embed="rId19"/>
                    <a:stretch>
                      <a:fillRect/>
                    </a:stretch>
                  </pic:blipFill>
                  <pic:spPr>
                    <a:xfrm>
                      <a:off x="0" y="0"/>
                      <a:ext cx="5669280" cy="3543300"/>
                    </a:xfrm>
                    <a:prstGeom prst="rect"/>
                  </pic:spPr>
                </pic:pic>
              </a:graphicData>
            </a:graphic>
          </wp:inline>
        </w:drawing>
      </w:r>
    </w:p>
    <w:p>
      <w:pPr>
        <w:jc w:val="center"/>
      </w:pPr>
      <w:r>
        <w:rPr>
          <w:i/>
          <w:color w:val="666666"/>
          <w:sz w:val="18"/>
        </w:rPr>
        <w:t>Figure: Connection editor showing Bedrock configuration with provider, model, region, masked API key, and Test Connection button</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Provider</w:t>
            </w:r>
          </w:p>
        </w:tc>
        <w:tc>
          <w:tcPr>
            <w:tcW w:type="dxa" w:w="2880"/>
            <w:shd w:val="clear" w:color="auto" w:fill="1A1A2E"/>
          </w:tcPr>
          <w:p>
            <w:r>
              <w:rPr>
                <w:b/>
                <w:color w:val="FFFFFF"/>
                <w:sz w:val="20"/>
              </w:rPr>
              <w:t>Config Fields</w:t>
            </w:r>
          </w:p>
        </w:tc>
        <w:tc>
          <w:tcPr>
            <w:tcW w:type="dxa" w:w="2880"/>
            <w:shd w:val="clear" w:color="auto" w:fill="1A1A2E"/>
          </w:tcPr>
          <w:p>
            <w:r>
              <w:rPr>
                <w:b/>
                <w:color w:val="FFFFFF"/>
                <w:sz w:val="20"/>
              </w:rPr>
              <w:t>Secret Field</w:t>
            </w:r>
          </w:p>
        </w:tc>
      </w:tr>
      <w:tr>
        <w:tc>
          <w:tcPr>
            <w:tcW w:type="dxa" w:w="2880"/>
          </w:tcPr>
          <w:p>
            <w:r>
              <w:rPr>
                <w:sz w:val="20"/>
              </w:rPr>
              <w:t>AWS Bedrock</w:t>
            </w:r>
          </w:p>
        </w:tc>
        <w:tc>
          <w:tcPr>
            <w:tcW w:type="dxa" w:w="2880"/>
          </w:tcPr>
          <w:p>
            <w:r>
              <w:rPr>
                <w:sz w:val="20"/>
              </w:rPr>
              <w:t>region, model</w:t>
            </w:r>
          </w:p>
        </w:tc>
        <w:tc>
          <w:tcPr>
            <w:tcW w:type="dxa" w:w="2880"/>
          </w:tcPr>
          <w:p>
            <w:r>
              <w:rPr>
                <w:sz w:val="20"/>
              </w:rPr>
              <w:t>AWS_BEARER_TOKEN_BEDROCK (Wallet)</w:t>
            </w:r>
          </w:p>
        </w:tc>
      </w:tr>
      <w:tr>
        <w:tc>
          <w:tcPr>
            <w:tcW w:type="dxa" w:w="2880"/>
          </w:tcPr>
          <w:p>
            <w:r>
              <w:rPr>
                <w:sz w:val="20"/>
              </w:rPr>
              <w:t>Anthropic</w:t>
            </w:r>
          </w:p>
        </w:tc>
        <w:tc>
          <w:tcPr>
            <w:tcW w:type="dxa" w:w="2880"/>
          </w:tcPr>
          <w:p>
            <w:r>
              <w:rPr>
                <w:sz w:val="20"/>
              </w:rPr>
              <w:t>model, base URL</w:t>
            </w:r>
          </w:p>
        </w:tc>
        <w:tc>
          <w:tcPr>
            <w:tcW w:type="dxa" w:w="2880"/>
          </w:tcPr>
          <w:p>
            <w:r>
              <w:rPr>
                <w:sz w:val="20"/>
              </w:rPr>
              <w:t>ANTHROPIC_API_KEY (Wallet)</w:t>
            </w:r>
          </w:p>
        </w:tc>
      </w:tr>
      <w:tr>
        <w:tc>
          <w:tcPr>
            <w:tcW w:type="dxa" w:w="2880"/>
          </w:tcPr>
          <w:p>
            <w:r>
              <w:rPr>
                <w:sz w:val="20"/>
              </w:rPr>
              <w:t>OpenAI</w:t>
            </w:r>
          </w:p>
        </w:tc>
        <w:tc>
          <w:tcPr>
            <w:tcW w:type="dxa" w:w="2880"/>
          </w:tcPr>
          <w:p>
            <w:r>
              <w:rPr>
                <w:sz w:val="20"/>
              </w:rPr>
              <w:t>model, base URL</w:t>
            </w:r>
          </w:p>
        </w:tc>
        <w:tc>
          <w:tcPr>
            <w:tcW w:type="dxa" w:w="2880"/>
          </w:tcPr>
          <w:p>
            <w:r>
              <w:rPr>
                <w:sz w:val="20"/>
              </w:rPr>
              <w:t>OPENAI_API_KEY (Wallet)</w:t>
            </w:r>
          </w:p>
        </w:tc>
      </w:tr>
      <w:tr>
        <w:tc>
          <w:tcPr>
            <w:tcW w:type="dxa" w:w="2880"/>
          </w:tcPr>
          <w:p>
            <w:r>
              <w:rPr>
                <w:sz w:val="20"/>
              </w:rPr>
              <w:t>Azure OpenAI</w:t>
            </w:r>
          </w:p>
        </w:tc>
        <w:tc>
          <w:tcPr>
            <w:tcW w:type="dxa" w:w="2880"/>
          </w:tcPr>
          <w:p>
            <w:r>
              <w:rPr>
                <w:sz w:val="20"/>
              </w:rPr>
              <w:t>endpoint, deployment, API version</w:t>
            </w:r>
          </w:p>
        </w:tc>
        <w:tc>
          <w:tcPr>
            <w:tcW w:type="dxa" w:w="2880"/>
          </w:tcPr>
          <w:p>
            <w:r>
              <w:rPr>
                <w:sz w:val="20"/>
              </w:rPr>
              <w:t>AZURE_OPENAI_API_KEY (Wallet)</w:t>
            </w:r>
          </w:p>
        </w:tc>
      </w:tr>
      <w:tr>
        <w:tc>
          <w:tcPr>
            <w:tcW w:type="dxa" w:w="2880"/>
          </w:tcPr>
          <w:p>
            <w:r>
              <w:rPr>
                <w:sz w:val="20"/>
              </w:rPr>
              <w:t>Google Gemini</w:t>
            </w:r>
          </w:p>
        </w:tc>
        <w:tc>
          <w:tcPr>
            <w:tcW w:type="dxa" w:w="2880"/>
          </w:tcPr>
          <w:p>
            <w:r>
              <w:rPr>
                <w:sz w:val="20"/>
              </w:rPr>
              <w:t>model, region</w:t>
            </w:r>
          </w:p>
        </w:tc>
        <w:tc>
          <w:tcPr>
            <w:tcW w:type="dxa" w:w="2880"/>
          </w:tcPr>
          <w:p>
            <w:r>
              <w:rPr>
                <w:sz w:val="20"/>
              </w:rPr>
              <w:t>GEMINI_API_KEY (Wallet)</w:t>
            </w:r>
          </w:p>
        </w:tc>
      </w:tr>
      <w:tr>
        <w:tc>
          <w:tcPr>
            <w:tcW w:type="dxa" w:w="2880"/>
          </w:tcPr>
          <w:p>
            <w:r>
              <w:rPr>
                <w:sz w:val="20"/>
              </w:rPr>
              <w:t>NVIDIA NIM</w:t>
            </w:r>
          </w:p>
        </w:tc>
        <w:tc>
          <w:tcPr>
            <w:tcW w:type="dxa" w:w="2880"/>
          </w:tcPr>
          <w:p>
            <w:r>
              <w:rPr>
                <w:sz w:val="20"/>
              </w:rPr>
              <w:t>model, base URL</w:t>
            </w:r>
          </w:p>
        </w:tc>
        <w:tc>
          <w:tcPr>
            <w:tcW w:type="dxa" w:w="2880"/>
          </w:tcPr>
          <w:p>
            <w:r>
              <w:rPr>
                <w:sz w:val="20"/>
              </w:rPr>
              <w:t>NIM_API_KEY (Wallet)</w:t>
            </w:r>
          </w:p>
        </w:tc>
      </w:tr>
    </w:tbl>
    <w:p/>
    <w:p>
      <w:pPr>
        <w:pStyle w:val="Heading2"/>
      </w:pPr>
      <w:r>
        <w:t>9.1 Security Invariants</w:t>
      </w:r>
    </w:p>
    <w:p>
      <w:pPr>
        <w:pStyle w:val="ListBullet"/>
      </w:pPr>
      <w:r>
        <w:t>API keys are NEVER stored in SQL tables, globals, or source code</w:t>
      </w:r>
    </w:p>
    <w:p>
      <w:pPr>
        <w:pStyle w:val="ListBullet"/>
      </w:pPr>
      <w:r>
        <w:t>API keys are NEVER returned by any REST endpoint</w:t>
      </w:r>
    </w:p>
    <w:p>
      <w:pPr>
        <w:pStyle w:val="ListBullet"/>
      </w:pPr>
      <w:r>
        <w:t>API keys are NEVER logged in audit trail</w:t>
      </w:r>
    </w:p>
    <w:p>
      <w:pPr>
        <w:pStyle w:val="ListBullet"/>
      </w:pPr>
      <w:r>
        <w:t>The only storage location is the IRIS Secured Wallet</w:t>
      </w:r>
    </w:p>
    <w:p>
      <w:r>
        <w:br w:type="page"/>
      </w:r>
    </w:p>
    <w:p>
      <w:pPr>
        <w:pStyle w:val="Heading1"/>
      </w:pPr>
      <w:r>
        <w:t>10. Audit and Security</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14_audit.png"/>
                    <pic:cNvPicPr/>
                  </pic:nvPicPr>
                  <pic:blipFill>
                    <a:blip r:embed="rId20"/>
                    <a:stretch>
                      <a:fillRect/>
                    </a:stretch>
                  </pic:blipFill>
                  <pic:spPr>
                    <a:xfrm>
                      <a:off x="0" y="0"/>
                      <a:ext cx="5669280" cy="3543300"/>
                    </a:xfrm>
                    <a:prstGeom prst="rect"/>
                  </pic:spPr>
                </pic:pic>
              </a:graphicData>
            </a:graphic>
          </wp:inline>
        </w:drawing>
      </w:r>
    </w:p>
    <w:p>
      <w:pPr>
        <w:jc w:val="center"/>
      </w:pPr>
      <w:r>
        <w:rPr>
          <w:i/>
          <w:color w:val="666666"/>
          <w:sz w:val="18"/>
        </w:rPr>
        <w:t>Figure: Audit log showing all API requests with status codes, methods, paths, timestamps, users, and durations</w:t>
      </w:r>
    </w:p>
    <w:p/>
    <w:p>
      <w:pPr>
        <w:pStyle w:val="Heading2"/>
      </w:pPr>
      <w:r>
        <w:t>10.1 Authentication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Method</w:t>
            </w:r>
          </w:p>
        </w:tc>
        <w:tc>
          <w:tcPr>
            <w:tcW w:type="dxa" w:w="4320"/>
            <w:shd w:val="clear" w:color="auto" w:fill="1A1A2E"/>
          </w:tcPr>
          <w:p>
            <w:r>
              <w:rPr>
                <w:b/>
                <w:color w:val="FFFFFF"/>
                <w:sz w:val="20"/>
              </w:rPr>
              <w:t>Use Case</w:t>
            </w:r>
          </w:p>
        </w:tc>
      </w:tr>
      <w:tr>
        <w:tc>
          <w:tcPr>
            <w:tcW w:type="dxa" w:w="4320"/>
          </w:tcPr>
          <w:p>
            <w:r>
              <w:rPr>
                <w:sz w:val="20"/>
              </w:rPr>
              <w:t>Basic auth</w:t>
            </w:r>
          </w:p>
        </w:tc>
        <w:tc>
          <w:tcPr>
            <w:tcW w:type="dxa" w:w="4320"/>
          </w:tcPr>
          <w:p>
            <w:r>
              <w:rPr>
                <w:sz w:val="20"/>
              </w:rPr>
              <w:t>Direct admin UI access (standalone mode)</w:t>
            </w:r>
          </w:p>
        </w:tc>
      </w:tr>
      <w:tr>
        <w:tc>
          <w:tcPr>
            <w:tcW w:type="dxa" w:w="4320"/>
          </w:tcPr>
          <w:p>
            <w:r>
              <w:rPr>
                <w:sz w:val="20"/>
              </w:rPr>
              <w:t>JWT Bearer</w:t>
            </w:r>
          </w:p>
        </w:tc>
        <w:tc>
          <w:tcPr>
            <w:tcW w:type="dxa" w:w="4320"/>
          </w:tcPr>
          <w:p>
            <w:r>
              <w:rPr>
                <w:sz w:val="20"/>
              </w:rPr>
              <w:t>Embedded access from Interop Editor (token passed via postMessage bridge)</w:t>
            </w:r>
          </w:p>
        </w:tc>
      </w:tr>
    </w:tbl>
    <w:p/>
    <w:p>
      <w:r>
        <w:t>All REST endpoints require authentication. No UI element is visible before login.</w:t>
      </w:r>
    </w:p>
    <w:p>
      <w:pPr>
        <w:pStyle w:val="Heading2"/>
      </w:pPr>
      <w:r>
        <w:t>10.2 LLM Permission Delegation</w:t>
      </w:r>
    </w:p>
    <w:p>
      <w:r>
        <w:t>The agent must NEVER bypass the authenticated user's permissions. Every tool call is executed under the authenticated user's security context. If the user cannot perform an action through the Management Portal, the agent must not perform it either. Tools validate permissions via $System.Security.Check() before executing mutating operations.</w:t>
      </w:r>
    </w:p>
    <w:p>
      <w:pPr>
        <w:pStyle w:val="Heading2"/>
      </w:pPr>
      <w:r>
        <w:t>10.3 Namespace Constraints</w:t>
      </w:r>
    </w:p>
    <w:p>
      <w:r>
        <w:t>Foundation namespaces (HSLIB, HSSYS, ENSLIB) are always read-only for the agent, regardless of user permissions. Non-Foundation namespaces respect the authenticated user's database-level permissions.</w:t>
      </w:r>
    </w:p>
    <w:p>
      <w:pPr>
        <w:pStyle w:val="Heading2"/>
      </w:pPr>
      <w:r>
        <w:t>10.4 Builder vs Operator Privilege Separation</w:t>
      </w:r>
    </w:p>
    <w:p>
      <w:r>
        <w:t>Enforced at two levels: (1) Tool availability -- the AI Hub Admin binds different ToolSets to Builder-mode and Operator-mode agent configurations; (2) Permission validation -- every mutating tool checks the user's IRIS roles before executing.</w:t>
      </w:r>
    </w:p>
    <w:p>
      <w:pPr>
        <w:pStyle w:val="Heading2"/>
      </w:pPr>
      <w:r>
        <w:t>10.5 Audit Log Fields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Field</w:t>
            </w:r>
          </w:p>
        </w:tc>
        <w:tc>
          <w:tcPr>
            <w:tcW w:type="dxa" w:w="4320"/>
            <w:shd w:val="clear" w:color="auto" w:fill="1A1A2E"/>
          </w:tcPr>
          <w:p>
            <w:r>
              <w:rPr>
                <w:b/>
                <w:color w:val="FFFFFF"/>
                <w:sz w:val="20"/>
              </w:rPr>
              <w:t>Description</w:t>
            </w:r>
          </w:p>
        </w:tc>
      </w:tr>
      <w:tr>
        <w:tc>
          <w:tcPr>
            <w:tcW w:type="dxa" w:w="4320"/>
          </w:tcPr>
          <w:p>
            <w:r>
              <w:rPr>
                <w:sz w:val="20"/>
              </w:rPr>
              <w:t>Timestamp</w:t>
            </w:r>
          </w:p>
        </w:tc>
        <w:tc>
          <w:tcPr>
            <w:tcW w:type="dxa" w:w="4320"/>
          </w:tcPr>
          <w:p>
            <w:r>
              <w:rPr>
                <w:sz w:val="20"/>
              </w:rPr>
              <w:t>When the request was received</w:t>
            </w:r>
          </w:p>
        </w:tc>
      </w:tr>
      <w:tr>
        <w:tc>
          <w:tcPr>
            <w:tcW w:type="dxa" w:w="4320"/>
          </w:tcPr>
          <w:p>
            <w:r>
              <w:rPr>
                <w:sz w:val="20"/>
              </w:rPr>
              <w:t>Username</w:t>
            </w:r>
          </w:p>
        </w:tc>
        <w:tc>
          <w:tcPr>
            <w:tcW w:type="dxa" w:w="4320"/>
          </w:tcPr>
          <w:p>
            <w:r>
              <w:rPr>
                <w:sz w:val="20"/>
              </w:rPr>
              <w:t>Authenticated IRIS user</w:t>
            </w:r>
          </w:p>
        </w:tc>
      </w:tr>
      <w:tr>
        <w:tc>
          <w:tcPr>
            <w:tcW w:type="dxa" w:w="4320"/>
          </w:tcPr>
          <w:p>
            <w:r>
              <w:rPr>
                <w:sz w:val="20"/>
              </w:rPr>
              <w:t>Namespace</w:t>
            </w:r>
          </w:p>
        </w:tc>
        <w:tc>
          <w:tcPr>
            <w:tcW w:type="dxa" w:w="4320"/>
          </w:tcPr>
          <w:p>
            <w:r>
              <w:rPr>
                <w:sz w:val="20"/>
              </w:rPr>
              <w:t>Active namespace at request time</w:t>
            </w:r>
          </w:p>
        </w:tc>
      </w:tr>
      <w:tr>
        <w:tc>
          <w:tcPr>
            <w:tcW w:type="dxa" w:w="4320"/>
          </w:tcPr>
          <w:p>
            <w:r>
              <w:rPr>
                <w:sz w:val="20"/>
              </w:rPr>
              <w:t>SessionId</w:t>
            </w:r>
          </w:p>
        </w:tc>
        <w:tc>
          <w:tcPr>
            <w:tcW w:type="dxa" w:w="4320"/>
          </w:tcPr>
          <w:p>
            <w:r>
              <w:rPr>
                <w:sz w:val="20"/>
              </w:rPr>
              <w:t>Browser session identifier</w:t>
            </w:r>
          </w:p>
        </w:tc>
      </w:tr>
      <w:tr>
        <w:tc>
          <w:tcPr>
            <w:tcW w:type="dxa" w:w="4320"/>
          </w:tcPr>
          <w:p>
            <w:r>
              <w:rPr>
                <w:sz w:val="20"/>
              </w:rPr>
              <w:t>Job</w:t>
            </w:r>
          </w:p>
        </w:tc>
        <w:tc>
          <w:tcPr>
            <w:tcW w:type="dxa" w:w="4320"/>
          </w:tcPr>
          <w:p>
            <w:r>
              <w:rPr>
                <w:sz w:val="20"/>
              </w:rPr>
              <w:t>IRIS job number</w:t>
            </w:r>
          </w:p>
        </w:tc>
      </w:tr>
      <w:tr>
        <w:tc>
          <w:tcPr>
            <w:tcW w:type="dxa" w:w="4320"/>
          </w:tcPr>
          <w:p>
            <w:r>
              <w:rPr>
                <w:sz w:val="20"/>
              </w:rPr>
              <w:t>Method</w:t>
            </w:r>
          </w:p>
        </w:tc>
        <w:tc>
          <w:tcPr>
            <w:tcW w:type="dxa" w:w="4320"/>
          </w:tcPr>
          <w:p>
            <w:r>
              <w:rPr>
                <w:sz w:val="20"/>
              </w:rPr>
              <w:t>GET, POST, PUT, DELETE</w:t>
            </w:r>
          </w:p>
        </w:tc>
      </w:tr>
      <w:tr>
        <w:tc>
          <w:tcPr>
            <w:tcW w:type="dxa" w:w="4320"/>
          </w:tcPr>
          <w:p>
            <w:r>
              <w:rPr>
                <w:sz w:val="20"/>
              </w:rPr>
              <w:t>Path</w:t>
            </w:r>
          </w:p>
        </w:tc>
        <w:tc>
          <w:tcPr>
            <w:tcW w:type="dxa" w:w="4320"/>
          </w:tcPr>
          <w:p>
            <w:r>
              <w:rPr>
                <w:sz w:val="20"/>
              </w:rPr>
              <w:t>/api/agentic/chat/stream</w:t>
            </w:r>
          </w:p>
        </w:tc>
      </w:tr>
      <w:tr>
        <w:tc>
          <w:tcPr>
            <w:tcW w:type="dxa" w:w="4320"/>
          </w:tcPr>
          <w:p>
            <w:r>
              <w:rPr>
                <w:sz w:val="20"/>
              </w:rPr>
              <w:t>StatusCode</w:t>
            </w:r>
          </w:p>
        </w:tc>
        <w:tc>
          <w:tcPr>
            <w:tcW w:type="dxa" w:w="4320"/>
          </w:tcPr>
          <w:p>
            <w:r>
              <w:rPr>
                <w:sz w:val="20"/>
              </w:rPr>
              <w:t>HTTP response status</w:t>
            </w:r>
          </w:p>
        </w:tc>
      </w:tr>
      <w:tr>
        <w:tc>
          <w:tcPr>
            <w:tcW w:type="dxa" w:w="4320"/>
          </w:tcPr>
          <w:p>
            <w:r>
              <w:rPr>
                <w:sz w:val="20"/>
              </w:rPr>
              <w:t>Duration</w:t>
            </w:r>
          </w:p>
        </w:tc>
        <w:tc>
          <w:tcPr>
            <w:tcW w:type="dxa" w:w="4320"/>
          </w:tcPr>
          <w:p>
            <w:r>
              <w:rPr>
                <w:sz w:val="20"/>
              </w:rPr>
              <w:t>End-to-end request time</w:t>
            </w:r>
          </w:p>
        </w:tc>
      </w:tr>
      <w:tr>
        <w:tc>
          <w:tcPr>
            <w:tcW w:type="dxa" w:w="4320"/>
          </w:tcPr>
          <w:p>
            <w:r>
              <w:rPr>
                <w:sz w:val="20"/>
              </w:rPr>
              <w:t>Kind</w:t>
            </w:r>
          </w:p>
        </w:tc>
        <w:tc>
          <w:tcPr>
            <w:tcW w:type="dxa" w:w="4320"/>
          </w:tcPr>
          <w:p>
            <w:r>
              <w:rPr>
                <w:sz w:val="20"/>
              </w:rPr>
              <w:t>registry, editor.agent, chat, namespace, etc.</w:t>
            </w:r>
          </w:p>
        </w:tc>
      </w:tr>
    </w:tbl>
    <w:p/>
    <w:p>
      <w:pPr>
        <w:pStyle w:val="Heading2"/>
      </w:pPr>
      <w:r>
        <w:t>10.6 Security Policies</w:t>
      </w:r>
    </w:p>
    <w:p>
      <w:pPr>
        <w:pStyle w:val="ListBullet"/>
      </w:pPr>
      <w:r>
        <w:t>ConfirmationGate: Mutating operations require explicit End User approval. This is the last line of defense after permission checks and namespace validation.</w:t>
      </w:r>
    </w:p>
    <w:p>
      <w:pPr>
        <w:pStyle w:val="ListBullet"/>
      </w:pPr>
      <w:r>
        <w:t>ToolFilter: Strips framework waste tools from the LLM catalog, preventing access to generic system tools that could bypass the permission model.</w:t>
      </w:r>
    </w:p>
    <w:p>
      <w:pPr>
        <w:pStyle w:val="Heading2"/>
      </w:pPr>
      <w:r>
        <w:t>10.7 Source Control Integration</w:t>
      </w:r>
    </w:p>
    <w:p>
      <w:r>
        <w:t>Agent-created artifacts (productions, DTLs, BPLs, routing rules) integrate with Health Connect Cloud's %SourceControl hooks. The agent uses standard IRIS APIs ($System.OBJ.Compile, %Dictionary) that trigger the hooks automatically. Changes are attributed to the authenticated user, not the agent's service account. The CI/CD pipeline (GitLab) validates, tests, and deploys changes across environments.</w:t>
      </w:r>
    </w:p>
    <w:p>
      <w:r>
        <w:br w:type="page"/>
      </w:r>
    </w:p>
    <w:p>
      <w:pPr>
        <w:pStyle w:val="Heading1"/>
      </w:pPr>
      <w:r>
        <w:t>11. Performance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Metric</w:t>
            </w:r>
          </w:p>
        </w:tc>
        <w:tc>
          <w:tcPr>
            <w:tcW w:type="dxa" w:w="2880"/>
            <w:shd w:val="clear" w:color="auto" w:fill="1A1A2E"/>
          </w:tcPr>
          <w:p>
            <w:r>
              <w:rPr>
                <w:b/>
                <w:color w:val="FFFFFF"/>
                <w:sz w:val="20"/>
              </w:rPr>
              <w:t>Target</w:t>
            </w:r>
          </w:p>
        </w:tc>
        <w:tc>
          <w:tcPr>
            <w:tcW w:type="dxa" w:w="2880"/>
            <w:shd w:val="clear" w:color="auto" w:fill="1A1A2E"/>
          </w:tcPr>
          <w:p>
            <w:r>
              <w:rPr>
                <w:b/>
                <w:color w:val="FFFFFF"/>
                <w:sz w:val="20"/>
              </w:rPr>
              <w:t>How Achieved</w:t>
            </w:r>
          </w:p>
        </w:tc>
      </w:tr>
      <w:tr>
        <w:tc>
          <w:tcPr>
            <w:tcW w:type="dxa" w:w="2880"/>
          </w:tcPr>
          <w:p>
            <w:r>
              <w:rPr>
                <w:sz w:val="20"/>
              </w:rPr>
              <w:t>First token latency</w:t>
            </w:r>
          </w:p>
        </w:tc>
        <w:tc>
          <w:tcPr>
            <w:tcW w:type="dxa" w:w="2880"/>
          </w:tcPr>
          <w:p>
            <w:r>
              <w:rPr>
                <w:sz w:val="20"/>
              </w:rPr>
              <w:t>&lt; 2 seconds</w:t>
            </w:r>
          </w:p>
        </w:tc>
        <w:tc>
          <w:tcPr>
            <w:tcW w:type="dxa" w:w="2880"/>
          </w:tcPr>
          <w:p>
            <w:r>
              <w:rPr>
                <w:sz w:val="20"/>
              </w:rPr>
              <w:t>SSE streaming, no buffering</w:t>
            </w:r>
          </w:p>
        </w:tc>
      </w:tr>
      <w:tr>
        <w:tc>
          <w:tcPr>
            <w:tcW w:type="dxa" w:w="2880"/>
          </w:tcPr>
          <w:p>
            <w:r>
              <w:rPr>
                <w:sz w:val="20"/>
              </w:rPr>
              <w:t>Turn completion</w:t>
            </w:r>
          </w:p>
        </w:tc>
        <w:tc>
          <w:tcPr>
            <w:tcW w:type="dxa" w:w="2880"/>
          </w:tcPr>
          <w:p>
            <w:r>
              <w:rPr>
                <w:sz w:val="20"/>
              </w:rPr>
              <w:t>&lt; 90 seconds</w:t>
            </w:r>
          </w:p>
        </w:tc>
        <w:tc>
          <w:tcPr>
            <w:tcW w:type="dxa" w:w="2880"/>
          </w:tcPr>
          <w:p>
            <w:r>
              <w:rPr>
                <w:sz w:val="20"/>
              </w:rPr>
              <w:t>Monitor: 60s deadline + 50K token budget</w:t>
            </w:r>
          </w:p>
        </w:tc>
      </w:tr>
      <w:tr>
        <w:tc>
          <w:tcPr>
            <w:tcW w:type="dxa" w:w="2880"/>
          </w:tcPr>
          <w:p>
            <w:r>
              <w:rPr>
                <w:sz w:val="20"/>
              </w:rPr>
              <w:t>Catalog search</w:t>
            </w:r>
          </w:p>
        </w:tc>
        <w:tc>
          <w:tcPr>
            <w:tcW w:type="dxa" w:w="2880"/>
          </w:tcPr>
          <w:p>
            <w:r>
              <w:rPr>
                <w:sz w:val="20"/>
              </w:rPr>
              <w:t>&lt; 500ms</w:t>
            </w:r>
          </w:p>
        </w:tc>
        <w:tc>
          <w:tcPr>
            <w:tcW w:type="dxa" w:w="2880"/>
          </w:tcPr>
          <w:p>
            <w:r>
              <w:rPr>
                <w:sz w:val="20"/>
              </w:rPr>
              <w:t>Pre-built HNSW vector index, in-process query</w:t>
            </w:r>
          </w:p>
        </w:tc>
      </w:tr>
      <w:tr>
        <w:tc>
          <w:tcPr>
            <w:tcW w:type="dxa" w:w="2880"/>
          </w:tcPr>
          <w:p>
            <w:r>
              <w:rPr>
                <w:sz w:val="20"/>
              </w:rPr>
              <w:t>Field mapping load</w:t>
            </w:r>
          </w:p>
        </w:tc>
        <w:tc>
          <w:tcPr>
            <w:tcW w:type="dxa" w:w="2880"/>
          </w:tcPr>
          <w:p>
            <w:r>
              <w:rPr>
                <w:sz w:val="20"/>
              </w:rPr>
              <w:t>&lt; 100ms</w:t>
            </w:r>
          </w:p>
        </w:tc>
        <w:tc>
          <w:tcPr>
            <w:tcW w:type="dxa" w:w="2880"/>
          </w:tcPr>
          <w:p>
            <w:r>
              <w:rPr>
                <w:sz w:val="20"/>
              </w:rPr>
              <w:t>Pre-computed SQL table (1,538 rows)</w:t>
            </w:r>
          </w:p>
        </w:tc>
      </w:tr>
      <w:tr>
        <w:tc>
          <w:tcPr>
            <w:tcW w:type="dxa" w:w="2880"/>
          </w:tcPr>
          <w:p>
            <w:r>
              <w:rPr>
                <w:sz w:val="20"/>
              </w:rPr>
              <w:t>Catalog rebuild</w:t>
            </w:r>
          </w:p>
        </w:tc>
        <w:tc>
          <w:tcPr>
            <w:tcW w:type="dxa" w:w="2880"/>
          </w:tcPr>
          <w:p>
            <w:r>
              <w:rPr>
                <w:sz w:val="20"/>
              </w:rPr>
              <w:t>&lt; 30 seconds</w:t>
            </w:r>
          </w:p>
        </w:tc>
        <w:tc>
          <w:tcPr>
            <w:tcW w:type="dxa" w:w="2880"/>
          </w:tcPr>
          <w:p>
            <w:r>
              <w:rPr>
                <w:sz w:val="20"/>
              </w:rPr>
              <w:t>Batch %Dictionary walk + FastEmbed</w:t>
            </w:r>
          </w:p>
        </w:tc>
      </w:tr>
      <w:tr>
        <w:tc>
          <w:tcPr>
            <w:tcW w:type="dxa" w:w="2880"/>
          </w:tcPr>
          <w:p>
            <w:r>
              <w:rPr>
                <w:sz w:val="20"/>
              </w:rPr>
              <w:t>Concurrent users</w:t>
            </w:r>
          </w:p>
        </w:tc>
        <w:tc>
          <w:tcPr>
            <w:tcW w:type="dxa" w:w="2880"/>
          </w:tcPr>
          <w:p>
            <w:r>
              <w:rPr>
                <w:sz w:val="20"/>
              </w:rPr>
              <w:t>5 sessions</w:t>
            </w:r>
          </w:p>
        </w:tc>
        <w:tc>
          <w:tcPr>
            <w:tcW w:type="dxa" w:w="2880"/>
          </w:tcPr>
          <w:p>
            <w:r>
              <w:rPr>
                <w:sz w:val="20"/>
              </w:rPr>
              <w:t>Per-process agent instances, no shared state</w:t>
            </w:r>
          </w:p>
        </w:tc>
      </w:tr>
      <w:tr>
        <w:tc>
          <w:tcPr>
            <w:tcW w:type="dxa" w:w="2880"/>
          </w:tcPr>
          <w:p>
            <w:r>
              <w:rPr>
                <w:sz w:val="20"/>
              </w:rPr>
              <w:t>Token efficiency</w:t>
            </w:r>
          </w:p>
        </w:tc>
        <w:tc>
          <w:tcPr>
            <w:tcW w:type="dxa" w:w="2880"/>
          </w:tcPr>
          <w:p>
            <w:r>
              <w:rPr>
                <w:sz w:val="20"/>
              </w:rPr>
              <w:t>&lt; 50K tokens/task</w:t>
            </w:r>
          </w:p>
        </w:tc>
        <w:tc>
          <w:tcPr>
            <w:tcW w:type="dxa" w:w="2880"/>
          </w:tcPr>
          <w:p>
            <w:r>
              <w:rPr>
                <w:sz w:val="20"/>
              </w:rPr>
              <w:t>ToolFilter, curated skills, no markdown overhead</w:t>
            </w:r>
          </w:p>
        </w:tc>
      </w:tr>
    </w:tbl>
    <w:p/>
    <w:p>
      <w:pPr>
        <w:pStyle w:val="Heading1"/>
      </w:pPr>
      <w:r>
        <w:t>12. Implementation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Component</w:t>
            </w:r>
          </w:p>
        </w:tc>
        <w:tc>
          <w:tcPr>
            <w:tcW w:type="dxa" w:w="2880"/>
            <w:shd w:val="clear" w:color="auto" w:fill="1A1A2E"/>
          </w:tcPr>
          <w:p>
            <w:r>
              <w:rPr>
                <w:b/>
                <w:color w:val="FFFFFF"/>
                <w:sz w:val="20"/>
              </w:rPr>
              <w:t>Classes</w:t>
            </w:r>
          </w:p>
        </w:tc>
        <w:tc>
          <w:tcPr>
            <w:tcW w:type="dxa" w:w="2880"/>
            <w:shd w:val="clear" w:color="auto" w:fill="1A1A2E"/>
          </w:tcPr>
          <w:p>
            <w:r>
              <w:rPr>
                <w:b/>
                <w:color w:val="FFFFFF"/>
                <w:sz w:val="20"/>
              </w:rPr>
              <w:t>Status</w:t>
            </w:r>
          </w:p>
        </w:tc>
      </w:tr>
      <w:tr>
        <w:tc>
          <w:tcPr>
            <w:tcW w:type="dxa" w:w="2880"/>
          </w:tcPr>
          <w:p>
            <w:r>
              <w:rPr>
                <w:sz w:val="20"/>
              </w:rPr>
              <w:t>Agent</w:t>
            </w:r>
          </w:p>
        </w:tc>
        <w:tc>
          <w:tcPr>
            <w:tcW w:type="dxa" w:w="2880"/>
          </w:tcPr>
          <w:p>
            <w:r>
              <w:rPr>
                <w:sz w:val="20"/>
              </w:rPr>
              <w:t>4 classes (HealthInterop, Manager, Monitor, SkillLoader)</w:t>
            </w:r>
          </w:p>
        </w:tc>
        <w:tc>
          <w:tcPr>
            <w:tcW w:type="dxa" w:w="2880"/>
          </w:tcPr>
          <w:p>
            <w:r>
              <w:rPr>
                <w:sz w:val="20"/>
              </w:rPr>
              <w:t>Built</w:t>
            </w:r>
          </w:p>
        </w:tc>
      </w:tr>
      <w:tr>
        <w:tc>
          <w:tcPr>
            <w:tcW w:type="dxa" w:w="2880"/>
          </w:tcPr>
          <w:p>
            <w:r>
              <w:rPr>
                <w:sz w:val="20"/>
              </w:rPr>
              <w:t>MCP Servers</w:t>
            </w:r>
          </w:p>
        </w:tc>
        <w:tc>
          <w:tcPr>
            <w:tcW w:type="dxa" w:w="2880"/>
          </w:tcPr>
          <w:p>
            <w:r>
              <w:rPr>
                <w:sz w:val="20"/>
              </w:rPr>
              <w:t>5 classes (Base + 4 servers)</w:t>
            </w:r>
          </w:p>
        </w:tc>
        <w:tc>
          <w:tcPr>
            <w:tcW w:type="dxa" w:w="2880"/>
          </w:tcPr>
          <w:p>
            <w:r>
              <w:rPr>
                <w:sz w:val="20"/>
              </w:rPr>
              <w:t>Built</w:t>
            </w:r>
          </w:p>
        </w:tc>
      </w:tr>
      <w:tr>
        <w:tc>
          <w:tcPr>
            <w:tcW w:type="dxa" w:w="2880"/>
          </w:tcPr>
          <w:p>
            <w:r>
              <w:rPr>
                <w:sz w:val="20"/>
              </w:rPr>
              <w:t>ToolSets</w:t>
            </w:r>
          </w:p>
        </w:tc>
        <w:tc>
          <w:tcPr>
            <w:tcW w:type="dxa" w:w="2880"/>
          </w:tcPr>
          <w:p>
            <w:r>
              <w:rPr>
                <w:sz w:val="20"/>
              </w:rPr>
              <w:t>5 classes</w:t>
            </w:r>
          </w:p>
        </w:tc>
        <w:tc>
          <w:tcPr>
            <w:tcW w:type="dxa" w:w="2880"/>
          </w:tcPr>
          <w:p>
            <w:r>
              <w:rPr>
                <w:sz w:val="20"/>
              </w:rPr>
              <w:t>Built</w:t>
            </w:r>
          </w:p>
        </w:tc>
      </w:tr>
      <w:tr>
        <w:tc>
          <w:tcPr>
            <w:tcW w:type="dxa" w:w="2880"/>
          </w:tcPr>
          <w:p>
            <w:r>
              <w:rPr>
                <w:sz w:val="20"/>
              </w:rPr>
              <w:t>Tools</w:t>
            </w:r>
          </w:p>
        </w:tc>
        <w:tc>
          <w:tcPr>
            <w:tcW w:type="dxa" w:w="2880"/>
          </w:tcPr>
          <w:p>
            <w:r>
              <w:rPr>
                <w:sz w:val="20"/>
              </w:rPr>
              <w:t>5 classes, 42 tools</w:t>
            </w:r>
          </w:p>
        </w:tc>
        <w:tc>
          <w:tcPr>
            <w:tcW w:type="dxa" w:w="2880"/>
          </w:tcPr>
          <w:p>
            <w:r>
              <w:rPr>
                <w:sz w:val="20"/>
              </w:rPr>
              <w:t>Built</w:t>
            </w:r>
          </w:p>
        </w:tc>
      </w:tr>
      <w:tr>
        <w:tc>
          <w:tcPr>
            <w:tcW w:type="dxa" w:w="2880"/>
          </w:tcPr>
          <w:p>
            <w:r>
              <w:rPr>
                <w:sz w:val="20"/>
              </w:rPr>
              <w:t>Skills</w:t>
            </w:r>
          </w:p>
        </w:tc>
        <w:tc>
          <w:tcPr>
            <w:tcW w:type="dxa" w:w="2880"/>
          </w:tcPr>
          <w:p>
            <w:r>
              <w:rPr>
                <w:sz w:val="20"/>
              </w:rPr>
              <w:t>13 classes (Base + 12 skills)</w:t>
            </w:r>
          </w:p>
        </w:tc>
        <w:tc>
          <w:tcPr>
            <w:tcW w:type="dxa" w:w="2880"/>
          </w:tcPr>
          <w:p>
            <w:r>
              <w:rPr>
                <w:sz w:val="20"/>
              </w:rPr>
              <w:t>Built</w:t>
            </w:r>
          </w:p>
        </w:tc>
      </w:tr>
      <w:tr>
        <w:tc>
          <w:tcPr>
            <w:tcW w:type="dxa" w:w="2880"/>
          </w:tcPr>
          <w:p>
            <w:r>
              <w:rPr>
                <w:sz w:val="20"/>
              </w:rPr>
              <w:t>Data model</w:t>
            </w:r>
          </w:p>
        </w:tc>
        <w:tc>
          <w:tcPr>
            <w:tcW w:type="dxa" w:w="2880"/>
          </w:tcPr>
          <w:p>
            <w:r>
              <w:rPr>
                <w:sz w:val="20"/>
              </w:rPr>
              <w:t>6 persistent classes</w:t>
            </w:r>
          </w:p>
        </w:tc>
        <w:tc>
          <w:tcPr>
            <w:tcW w:type="dxa" w:w="2880"/>
          </w:tcPr>
          <w:p>
            <w:r>
              <w:rPr>
                <w:sz w:val="20"/>
              </w:rPr>
              <w:t>Built</w:t>
            </w:r>
          </w:p>
        </w:tc>
      </w:tr>
      <w:tr>
        <w:tc>
          <w:tcPr>
            <w:tcW w:type="dxa" w:w="2880"/>
          </w:tcPr>
          <w:p>
            <w:r>
              <w:rPr>
                <w:sz w:val="20"/>
              </w:rPr>
              <w:t>REST API</w:t>
            </w:r>
          </w:p>
        </w:tc>
        <w:tc>
          <w:tcPr>
            <w:tcW w:type="dxa" w:w="2880"/>
          </w:tcPr>
          <w:p>
            <w:r>
              <w:rPr>
                <w:sz w:val="20"/>
              </w:rPr>
              <w:t>1 dispatcher + 13 service classes</w:t>
            </w:r>
          </w:p>
        </w:tc>
        <w:tc>
          <w:tcPr>
            <w:tcW w:type="dxa" w:w="2880"/>
          </w:tcPr>
          <w:p>
            <w:r>
              <w:rPr>
                <w:sz w:val="20"/>
              </w:rPr>
              <w:t>Built</w:t>
            </w:r>
          </w:p>
        </w:tc>
      </w:tr>
      <w:tr>
        <w:tc>
          <w:tcPr>
            <w:tcW w:type="dxa" w:w="2880"/>
          </w:tcPr>
          <w:p>
            <w:r>
              <w:rPr>
                <w:sz w:val="20"/>
              </w:rPr>
              <w:t>Admin UI</w:t>
            </w:r>
          </w:p>
        </w:tc>
        <w:tc>
          <w:tcPr>
            <w:tcW w:type="dxa" w:w="2880"/>
          </w:tcPr>
          <w:p>
            <w:r>
              <w:rPr>
                <w:sz w:val="20"/>
              </w:rPr>
              <w:t>3 HTML + 2 JS + 2 CSS files</w:t>
            </w:r>
          </w:p>
        </w:tc>
        <w:tc>
          <w:tcPr>
            <w:tcW w:type="dxa" w:w="2880"/>
          </w:tcPr>
          <w:p>
            <w:r>
              <w:rPr>
                <w:sz w:val="20"/>
              </w:rPr>
              <w:t>Built</w:t>
            </w:r>
          </w:p>
        </w:tc>
      </w:tr>
      <w:tr>
        <w:tc>
          <w:tcPr>
            <w:tcW w:type="dxa" w:w="2880"/>
          </w:tcPr>
          <w:p>
            <w:r>
              <w:rPr>
                <w:sz w:val="20"/>
              </w:rPr>
              <w:t>Chat UI</w:t>
            </w:r>
          </w:p>
        </w:tc>
        <w:tc>
          <w:tcPr>
            <w:tcW w:type="dxa" w:w="2880"/>
          </w:tcPr>
          <w:p>
            <w:r>
              <w:rPr>
                <w:sz w:val="20"/>
              </w:rPr>
              <w:t>1 HTML + 1 JS + 1 CSS file</w:t>
            </w:r>
          </w:p>
        </w:tc>
        <w:tc>
          <w:tcPr>
            <w:tcW w:type="dxa" w:w="2880"/>
          </w:tcPr>
          <w:p>
            <w:r>
              <w:rPr>
                <w:sz w:val="20"/>
              </w:rPr>
              <w:t>Built</w:t>
            </w:r>
          </w:p>
        </w:tc>
      </w:tr>
      <w:tr>
        <w:tc>
          <w:tcPr>
            <w:tcW w:type="dxa" w:w="2880"/>
          </w:tcPr>
          <w:p>
            <w:r>
              <w:rPr>
                <w:sz w:val="20"/>
              </w:rPr>
              <w:t>Vector catalogs</w:t>
            </w:r>
          </w:p>
        </w:tc>
        <w:tc>
          <w:tcPr>
            <w:tcW w:type="dxa" w:w="2880"/>
          </w:tcPr>
          <w:p>
            <w:r>
              <w:rPr>
                <w:sz w:val="20"/>
              </w:rPr>
              <w:t>2 classes (Builder, Attach)</w:t>
            </w:r>
          </w:p>
        </w:tc>
        <w:tc>
          <w:tcPr>
            <w:tcW w:type="dxa" w:w="2880"/>
          </w:tcPr>
          <w:p>
            <w:r>
              <w:rPr>
                <w:sz w:val="20"/>
              </w:rPr>
              <w:t>Built</w:t>
            </w:r>
          </w:p>
        </w:tc>
      </w:tr>
      <w:tr>
        <w:tc>
          <w:tcPr>
            <w:tcW w:type="dxa" w:w="2880"/>
          </w:tcPr>
          <w:p>
            <w:r>
              <w:rPr>
                <w:sz w:val="20"/>
              </w:rPr>
              <w:t>Transformation and Mapping Catalog</w:t>
            </w:r>
          </w:p>
        </w:tc>
        <w:tc>
          <w:tcPr>
            <w:tcW w:type="dxa" w:w="2880"/>
          </w:tcPr>
          <w:p>
            <w:r>
              <w:rPr>
                <w:sz w:val="20"/>
              </w:rPr>
              <w:t>2 classes (TransformService, FieldMapping)</w:t>
            </w:r>
          </w:p>
        </w:tc>
        <w:tc>
          <w:tcPr>
            <w:tcW w:type="dxa" w:w="2880"/>
          </w:tcPr>
          <w:p>
            <w:r>
              <w:rPr>
                <w:sz w:val="20"/>
              </w:rPr>
              <w:t>Built</w:t>
            </w:r>
          </w:p>
        </w:tc>
      </w:tr>
      <w:tr>
        <w:tc>
          <w:tcPr>
            <w:tcW w:type="dxa" w:w="2880"/>
          </w:tcPr>
          <w:p>
            <w:r>
              <w:rPr>
                <w:sz w:val="20"/>
              </w:rPr>
              <w:t>Policies</w:t>
            </w:r>
          </w:p>
        </w:tc>
        <w:tc>
          <w:tcPr>
            <w:tcW w:type="dxa" w:w="2880"/>
          </w:tcPr>
          <w:p>
            <w:r>
              <w:rPr>
                <w:sz w:val="20"/>
              </w:rPr>
              <w:t>2 classes (ConfirmationGate, ToolFilter)</w:t>
            </w:r>
          </w:p>
        </w:tc>
        <w:tc>
          <w:tcPr>
            <w:tcW w:type="dxa" w:w="2880"/>
          </w:tcPr>
          <w:p>
            <w:r>
              <w:rPr>
                <w:sz w:val="20"/>
              </w:rPr>
              <w:t>Built</w:t>
            </w:r>
          </w:p>
        </w:tc>
      </w:tr>
      <w:tr>
        <w:tc>
          <w:tcPr>
            <w:tcW w:type="dxa" w:w="2880"/>
          </w:tcPr>
          <w:p>
            <w:r>
              <w:rPr>
                <w:sz w:val="20"/>
              </w:rPr>
              <w:t>Install hooks</w:t>
            </w:r>
          </w:p>
        </w:tc>
        <w:tc>
          <w:tcPr>
            <w:tcW w:type="dxa" w:w="2880"/>
          </w:tcPr>
          <w:p>
            <w:r>
              <w:rPr>
                <w:sz w:val="20"/>
              </w:rPr>
              <w:t>2 classes (CSPTimeoutPatch, InteropEditorPatch)</w:t>
            </w:r>
          </w:p>
        </w:tc>
        <w:tc>
          <w:tcPr>
            <w:tcW w:type="dxa" w:w="2880"/>
          </w:tcPr>
          <w:p>
            <w:r>
              <w:rPr>
                <w:sz w:val="20"/>
              </w:rPr>
              <w:t>Built</w:t>
            </w:r>
          </w:p>
        </w:tc>
      </w:tr>
      <w:tr>
        <w:tc>
          <w:tcPr>
            <w:tcW w:type="dxa" w:w="2880"/>
          </w:tcPr>
          <w:p>
            <w:r>
              <w:rPr>
                <w:sz w:val="20"/>
              </w:rPr>
              <w:t>IPM package</w:t>
            </w:r>
          </w:p>
        </w:tc>
        <w:tc>
          <w:tcPr>
            <w:tcW w:type="dxa" w:w="2880"/>
          </w:tcPr>
          <w:p>
            <w:r>
              <w:rPr>
                <w:sz w:val="20"/>
              </w:rPr>
              <w:t>module.xml</w:t>
            </w:r>
          </w:p>
        </w:tc>
        <w:tc>
          <w:tcPr>
            <w:tcW w:type="dxa" w:w="2880"/>
          </w:tcPr>
          <w:p>
            <w:r>
              <w:rPr>
                <w:sz w:val="20"/>
              </w:rPr>
              <w:t>Built</w:t>
            </w:r>
          </w:p>
        </w:tc>
      </w:tr>
      <w:tr>
        <w:tc>
          <w:tcPr>
            <w:tcW w:type="dxa" w:w="2880"/>
          </w:tcPr>
          <w:p>
            <w:r>
              <w:rPr>
                <w:sz w:val="20"/>
              </w:rPr>
              <w:t>Total</w:t>
            </w:r>
          </w:p>
        </w:tc>
        <w:tc>
          <w:tcPr>
            <w:tcW w:type="dxa" w:w="2880"/>
          </w:tcPr>
          <w:p>
            <w:r>
              <w:rPr>
                <w:sz w:val="20"/>
              </w:rPr>
              <w:t>61 ObjectScript classes, 8 web files, 100+ commits</w:t>
            </w:r>
          </w:p>
        </w:tc>
        <w:tc>
          <w:tcPr>
            <w:tcW w:type="dxa" w:w="2880"/>
          </w:tcPr>
          <w:p>
            <w:r>
              <w:rPr>
                <w:sz w:val="20"/>
              </w:rP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