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5FAD"/>
          <w:sz w:val="18"/>
        </w:rPr>
        <w:t>PRODUCT REQUIREMENTS DOCUMENT · DRAFT FOR REVIEW</w:t>
      </w:r>
    </w:p>
    <w:p>
      <w:pPr>
        <w:spacing w:after="80"/>
      </w:pPr>
      <w:r>
        <w:rPr>
          <w:b/>
          <w:color w:val="1C2B36"/>
          <w:sz w:val="48"/>
        </w:rPr>
        <w:t>Change Control for Health Connect Cloud</w:t>
      </w:r>
    </w:p>
    <w:p>
      <w:r>
        <w:rPr>
          <w:color w:val="5A6B78"/>
          <w:sz w:val="24"/>
        </w:rPr>
        <w:t>Source control and environment promotion for the people who build healthcare interfaces — without asking them to become developers first.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680"/>
        <w:gridCol w:w="4680"/>
      </w:tblGrid>
      <w:tr>
        <w:tc>
          <w:tcPr>
            <w:tcW w:type="dxa" w:w="2448"/>
          </w:tcPr>
          <w:p>
            <w:r>
              <w:rPr>
                <w:b/>
                <w:sz w:val="19"/>
              </w:rPr>
              <w:t>Product area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Health Connect Cloud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PM owner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D. Franco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Status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Draft — evidence from working prototype (HCCCICD)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Last updated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13 August 2026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Primary persona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Integration Builder / Interface Engineer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19"/>
              </w:rPr>
              <w:t>Prototype</w:t>
            </w:r>
            <w:r>
              <w:rPr>
                <w:sz w:val="19"/>
              </w:rPr>
            </w:r>
          </w:p>
        </w:tc>
        <w:tc>
          <w:tcPr>
            <w:tcW w:type="dxa" w:w="6912"/>
          </w:tcPr>
          <w:p>
            <w:r>
              <w:rPr>
                <w:sz w:val="19"/>
              </w:rPr>
              <w:t>github.com/dfrancoisc/HCCCICD</w:t>
            </w:r>
          </w:p>
        </w:tc>
      </w:tr>
    </w:tbl>
    <w:p>
      <w:pPr>
        <w:spacing w:after="40"/>
      </w:pPr>
    </w:p>
    <w:p>
      <w:pPr>
        <w:pStyle w:val="Heading1"/>
      </w:pPr>
      <w:r>
        <w:t>1 · The problem</w:t>
      </w:r>
    </w:p>
    <w:p>
      <w:r>
        <w:rPr>
          <w:b/>
        </w:rPr>
        <w:t xml:space="preserve">Who has it. </w:t>
      </w:r>
      <w:r>
        <w:rPr>
          <w:i w:val="0"/>
        </w:rPr>
        <w:t>Every Health Connect Cloud customer employs people whose job is to build and maintain HL7 and FHIR interfaces: integration builders and interface engineers. They work in the Interoperability editor and the Management Portal wizards. They do not have a shell, a file system, or a Git client — Health Connect Cloud is a managed service, and none of those things are part of their job.</w:t>
      </w:r>
    </w:p>
    <w:p>
      <w:r>
        <w:rPr>
          <w:b/>
        </w:rPr>
        <w:t xml:space="preserve">What happens today. </w:t>
      </w:r>
      <w:r>
        <w:rPr>
          <w:i w:val="0"/>
        </w:rPr>
        <w:t>A builder finishes a change in Development, raises a ticket, and asks the platform team to move it. The platform team moves exactly what was listed. If the builder forgot something — and the thing people forget is the business host a production points at — the deployment reports success, the production fails to start, and the mistake surfaces when Test is already broken. The error is a compile failure in a log the builder cannot read, in an environment the builder cannot inspect. Meanwhile, two builders editing the same routing rule in the same namespace silently overwrite each other: the second save wins and the first person's afternoon is gone, without a warning and without a trace.</w:t>
      </w:r>
    </w:p>
    <w:p>
      <w:r>
        <w:rPr>
          <w:b/>
        </w:rPr>
        <w:t xml:space="preserve">Why now. </w:t>
      </w:r>
      <w:r>
        <w:rPr>
          <w:i w:val="0"/>
        </w:rPr>
        <w:t>Health Connect Cloud already ships the machinery that solves this — Embedded Git, protected branches per environment, and a CI/CD pipeline. But that machinery speaks a developer's language, so the very people who make the most changes to the platform are the ones who cannot use it. Competing platforms have proven both the failure and the fix: Salesforce change sets fail on missed nested dependencies, and the market answered with tools that run dependency analysis automatically, before deployment.</w:t>
      </w:r>
    </w:p>
    <w:p>
      <w:r>
        <w:rPr>
          <w:b/>
        </w:rPr>
        <w:t xml:space="preserve">Outcome hypothesis. </w:t>
      </w:r>
      <w:r>
        <w:rPr>
          <w:i w:val="0"/>
        </w:rPr>
        <w:t>If a builder can carry their own change from Development to Production — traceably, safely, and in their own vocabulary — then failed deployments from incomplete change sets go to zero, promotion stops depending on another team's queue, and every change on the platform becomes auditable by default. Leading indicator: a builder promotes a change end-to-end, unassisted, in their first week.</w:t>
      </w:r>
    </w:p>
    <w:p>
      <w:pPr>
        <w:spacing w:before="160"/>
        <w:ind w:left="432"/>
      </w:pPr>
      <w:r>
        <w:rPr>
          <w:i/>
          <w:sz w:val="23"/>
        </w:rPr>
        <w:t>"I want to move my own change without asking anybody, and I want to be told before I send it if I have forgotten something."</w:t>
      </w:r>
    </w:p>
    <w:p>
      <w:pPr>
        <w:ind w:left="432"/>
      </w:pPr>
      <w:r>
        <w:rPr>
          <w:color w:val="5A6B78"/>
          <w:sz w:val="18"/>
        </w:rPr>
        <w:t>— the one-sentence product brief, in the builder's own words</w:t>
      </w:r>
    </w:p>
    <w:p>
      <w:pPr>
        <w:pStyle w:val="Heading1"/>
      </w:pPr>
      <w:r>
        <w:t>2 · The persona</w:t>
      </w:r>
    </w:p>
    <w:p>
      <w:pPr>
        <w:pStyle w:val="Heading2"/>
      </w:pPr>
      <w:r>
        <w:t>Marta Oliveira — Integration Builder</w:t>
      </w:r>
    </w:p>
    <w:p>
      <w:r>
        <w:rPr>
          <w:i w:val="0"/>
        </w:rPr>
        <w:t>Nine years building HL7 v2 and FHIR interfaces for a hospital group on Health Connect Cloud. She can read a Visual Trace and tell you which segment is wrong, and when the lab feed stops at three in the morning it is her phone that rings. She is not a developer, and she does not want to be one.</w:t>
      </w:r>
    </w:p>
    <w:p>
      <w:r>
        <w:rPr>
          <w:b/>
        </w:rPr>
        <w:t xml:space="preserve">What she has: </w:t>
      </w:r>
      <w:r>
        <w:rPr>
          <w:i w:val="0"/>
        </w:rPr>
        <w:t>The Interoperability editor, the Management Portal wizards, and increasingly an AI builder that makes changes on her behalf.</w:t>
      </w:r>
    </w:p>
    <w:p>
      <w:r>
        <w:rPr>
          <w:b/>
        </w:rPr>
        <w:t xml:space="preserve">What she does not have: </w:t>
      </w:r>
      <w:r>
        <w:rPr>
          <w:i w:val="0"/>
        </w:rPr>
        <w:t>A shell, file-system access, a Git client, or any reason to learn one. The word “rebase” is not in her job description.</w:t>
      </w:r>
    </w:p>
    <w:p>
      <w:r>
        <w:rPr>
          <w:i w:val="0"/>
        </w:rPr>
        <w:t>Marta is not less capable than a developer — she has a different job. A tool that requires her to learn a developer's job in order to do her own has failed, however elegant it 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val="clear" w:fill="E3EDF8"/>
          </w:tcPr>
          <w:p>
            <w:r>
              <w:rPr>
                <w:b/>
                <w:color w:val="1C2B36"/>
                <w:sz w:val="19"/>
              </w:rPr>
              <w:t>Secondary persona</w:t>
            </w:r>
          </w:p>
        </w:tc>
        <w:tc>
          <w:tcPr>
            <w:tcW w:type="dxa" w:w="4896"/>
            <w:shd w:val="clear" w:fill="E3EDF8"/>
          </w:tcPr>
          <w:p>
            <w:r>
              <w:rPr>
                <w:b/>
                <w:color w:val="1C2B36"/>
                <w:sz w:val="19"/>
              </w:rPr>
              <w:t>Needs</w:t>
            </w:r>
          </w:p>
        </w:tc>
        <w:tc>
          <w:tcPr>
            <w:tcW w:type="dxa" w:w="2304"/>
            <w:shd w:val="clear" w:fill="E3EDF8"/>
          </w:tcPr>
          <w:p>
            <w:r>
              <w:rPr>
                <w:b/>
                <w:color w:val="1C2B36"/>
                <w:sz w:val="19"/>
              </w:rPr>
              <w:t>Influence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Integration Lead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Approves changes into Test and Production. Must see what changed and why in plain language, without opening a diff.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Approver / champion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Platform Administrator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Configures the promotion path, approvers, and reference numbering. Once.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Economic buyer's proxy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/ Agentic builder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Not a person, but it changes artifacts on Marta's behalf. Everything it does must be captured identically to her manual work.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Force multiplier — and audit risk if uncaptured</w:t>
            </w:r>
          </w:p>
        </w:tc>
      </w:tr>
    </w:tbl>
    <w:p>
      <w:pPr>
        <w:spacing w:after="40"/>
      </w:pPr>
    </w:p>
    <w:p>
      <w:pPr>
        <w:pStyle w:val="Heading1"/>
      </w:pPr>
      <w:r>
        <w:t>3 · Design principle: abstract the technical layer</w:t>
      </w:r>
    </w:p>
    <w:p>
      <w:r>
        <w:rPr>
          <w:i w:val="0"/>
        </w:rPr>
        <w:t>The workflow underneath is the documented Health Connect Cloud Embedded Git model — feature branches, merge requests, a CI/CD pipeline. The product decision is to keep every bit of that power and remove every bit of its vocabulary. The main flow contains no Git words. The technical names exist behind a single “show the technical names” toggle for those who want them — never as the primary path.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680"/>
        <w:gridCol w:w="4680"/>
      </w:tblGrid>
      <w:tr>
        <w:tc>
          <w:tcPr>
            <w:tcW w:type="dxa" w:w="2736"/>
            <w:shd w:val="clear" w:fill="E3EDF8"/>
          </w:tcPr>
          <w:p>
            <w:r>
              <w:rPr>
                <w:b/>
                <w:color w:val="1C2B36"/>
                <w:sz w:val="19"/>
              </w:rPr>
              <w:t>What Marta sees</w:t>
            </w:r>
          </w:p>
        </w:tc>
        <w:tc>
          <w:tcPr>
            <w:tcW w:type="dxa" w:w="6624"/>
            <w:shd w:val="clear" w:fill="E3EDF8"/>
          </w:tcPr>
          <w:p>
            <w:r>
              <w:rPr>
                <w:b/>
                <w:color w:val="1C2B36"/>
                <w:sz w:val="19"/>
              </w:rPr>
              <w:t>What it is underneath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Your change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 feature branch cut from the live branch, in her own workspace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Saved automatically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 commit written by Embedded Git on every save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Version 3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The commit count for that artifact's file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Held for you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An edit claim in the lock table — one artifact, one editor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Change request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A merge request to the target environment's protected branch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Deploys itself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The CI/CD pipeline loading the protected branch into the namespace</w:t>
            </w:r>
          </w:p>
        </w:tc>
      </w:tr>
    </w:tbl>
    <w:p>
      <w:pPr>
        <w:spacing w:after="40"/>
      </w:pPr>
    </w:p>
    <w:p>
      <w:r>
        <w:rPr>
          <w:b/>
        </w:rPr>
        <w:t xml:space="preserve">Two rules the product never breaks. </w:t>
      </w:r>
      <w:r>
        <w:rPr>
          <w:i w:val="0"/>
        </w:rPr>
        <w:t>It never asks the builder to remember a step (capture that depends on pressing “add to source control” is capture that does not happen), and it never explains a failure in Git's words (one “merge conflict” in an error message undoes the entire approach).</w:t>
      </w:r>
    </w:p>
    <w:p>
      <w:pPr>
        <w:sectPr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 · The user journey</w:t>
      </w:r>
    </w:p>
    <w:p>
      <w:r>
        <w:rPr>
          <w:i w:val="0"/>
        </w:rPr>
        <w:t>Six steps carry a change from intention to Production. Everything above the abstraction line is what the builder does and sees; everything below it happens on its own and is never shown unless asked for.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61120" cy="3797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379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6B78"/>
          <w:sz w:val="18"/>
        </w:rPr>
        <w:t>The six-step journey. The amber loop on step 5 is the product's reason to exist: an incomplete change is caught and fixed in one click, before it leaves Development.</w:t>
      </w:r>
    </w:p>
    <w:p>
      <w:pPr>
        <w:sectPr>
          <w:footerReference w:type="default" r:id="rId11"/>
          <w:pgSz w:w="15840" w:h="12240" w:orient="landscape"/>
          <w:pgMar w:top="864" w:right="864" w:bottom="864" w:left="86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val="clear" w:fill="E3EDF8"/>
          </w:tcPr>
          <w:p>
            <w:r>
              <w:rPr>
                <w:b/>
                <w:color w:val="1C2B36"/>
                <w:sz w:val="19"/>
              </w:rPr>
              <w:t>Step</w:t>
            </w:r>
          </w:p>
        </w:tc>
        <w:tc>
          <w:tcPr>
            <w:tcW w:type="dxa" w:w="3888"/>
            <w:shd w:val="clear" w:fill="E3EDF8"/>
          </w:tcPr>
          <w:p>
            <w:r>
              <w:rPr>
                <w:b/>
                <w:color w:val="1C2B36"/>
                <w:sz w:val="19"/>
              </w:rPr>
              <w:t>What the builder does</w:t>
            </w:r>
          </w:p>
        </w:tc>
        <w:tc>
          <w:tcPr>
            <w:tcW w:type="dxa" w:w="3528"/>
            <w:shd w:val="clear" w:fill="E3EDF8"/>
          </w:tcPr>
          <w:p>
            <w:r>
              <w:rPr>
                <w:b/>
                <w:color w:val="1C2B36"/>
                <w:sz w:val="19"/>
              </w:rPr>
              <w:t>The benefit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1 · Start your change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Types one line — what she is about to do and why. A change reference (session ID) is issued automatically, or she pastes her ServiceNow / Jira number.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Every change is linked to a reason and a person from the first minute. Audit stops being an afterthought.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2 · Private workspace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Nothing — it is created for her the moment the change starts.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Half-finished work can't break a shared environment, and colleagues never see work in progress.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3 · Perform the change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Builds in the Interoperability editor, portal wizards, or via the AI builder — exactly as today.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Every save is captured and versioned with zero extra actions. The items she touches are held for her, so nobody can silently overwrite her work.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4 · Pick what travels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Reviews the captured list, grouped by kind, and ticks what belongs to this change (the cherry-pick list).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An urgent fix and a half-done project can leave Development separately. Accidental edits are spotted before they travel.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5 · Safety check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Nothing — it runs on its own. If something the change depends on is missing, the tool names it and adds it in one click.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The “deployment succeeded but the production won't start” failure becomes impossible to ship. Found in seconds in Dev, not in a day of broken Test.</w:t>
            </w:r>
          </w:p>
        </w:tc>
      </w:tr>
      <w:tr>
        <w:tc>
          <w:tcPr>
            <w:tcW w:type="dxa" w:w="1944"/>
          </w:tcPr>
          <w:p>
            <w:r>
              <w:rPr>
                <w:sz w:val="19"/>
              </w:rPr>
              <w:t>6 · Promote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Describes the change once (what, why, risk, rollback). The approver for the target signs off; deployment happens by itself. The same items travel on without being picked again.</w:t>
            </w:r>
          </w:p>
        </w:tc>
        <w:tc>
          <w:tcPr>
            <w:tcW w:type="dxa" w:w="3528"/>
          </w:tcPr>
          <w:p>
            <w:r>
              <w:rPr>
                <w:sz w:val="19"/>
              </w:rPr>
              <w:t>No ticket, no queue, no re-listing. Dev → Test → Prod with a named approver at each gate and a complete history of who did what, when.</w:t>
            </w:r>
          </w:p>
        </w:tc>
      </w:tr>
    </w:tbl>
    <w:p>
      <w:pPr>
        <w:spacing w:after="40"/>
      </w:pPr>
    </w:p>
    <w:p>
      <w:pPr>
        <w:pStyle w:val="Heading1"/>
      </w:pPr>
      <w:r>
        <w:t>5 · User stories</w:t>
      </w:r>
    </w:p>
    <w:p>
      <w:r>
        <w:rPr>
          <w:i w:val="0"/>
        </w:rPr>
        <w:t>Written in Marta's voice, grouped by journey step. Priorities: P0 must-have for launch, P1 important. Acceptance criteria trace to the numbered requirements (FR-*, NFR-*) in the build specification.</w:t>
      </w:r>
    </w:p>
    <w:p>
      <w:pPr>
        <w:pStyle w:val="Heading2"/>
      </w:pPr>
      <w:r>
        <w:t>Step 1 — Start your change: traceability without ceremony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say what I'm about to work on and get on with it, so that starting a change costs me ten seconds, not ten minutes.</w:t>
      </w:r>
    </w:p>
    <w:p>
      <w:pPr>
        <w:pStyle w:val="ListBullet"/>
        <w:ind w:left="720"/>
      </w:pPr>
      <w:r>
        <w:t>One line of description and nothing else; a reference is generated by default, typing my own ticket number is a configurable alternative</w:t>
      </w:r>
    </w:p>
    <w:p>
      <w:pPr>
        <w:pStyle w:val="ListBullet"/>
        <w:ind w:left="720"/>
      </w:pPr>
      <w:r>
        <w:t>Confirmation states plainly that my work is private until sent forward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US-2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lead, I want every change linked to a reference and a stated reason, so that six months later we can answer “why does the interface do this?” without archaeology.</w:t>
      </w:r>
    </w:p>
    <w:p>
      <w:pPr>
        <w:pStyle w:val="ListBullet"/>
        <w:ind w:left="720"/>
      </w:pPr>
      <w:r>
        <w:t>Reference, reason, owner and start time are recorded at creation and immutable afterwards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US-3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be told what to do before I change anything, so that I don't discover the process after I've already broken it.</w:t>
      </w:r>
    </w:p>
    <w:p>
      <w:pPr>
        <w:pStyle w:val="ListBullet"/>
        <w:ind w:left="720"/>
      </w:pPr>
      <w:r>
        <w:t>Guidance appears unprompted when no change is open and names the one step people miss: start the change first</w:t>
      </w:r>
    </w:p>
    <w:p>
      <w:pPr>
        <w:pStyle w:val="ListBullet"/>
        <w:ind w:left="720"/>
      </w:pPr>
      <w:r>
        <w:t>It never interrupts anyone mid-task, and is permanently dismissible</w:t>
      </w:r>
    </w:p>
    <w:p>
      <w:pPr>
        <w:pStyle w:val="Heading2"/>
      </w:pPr>
      <w:r>
        <w:t>Step 2 — Private workspace: safe by default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US-4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my in-progress work invisible to shared environments, so that an experiment on Tuesday can't break Wednesday's go-live.</w:t>
      </w:r>
    </w:p>
    <w:p>
      <w:pPr>
        <w:pStyle w:val="ListBullet"/>
        <w:ind w:left="720"/>
      </w:pPr>
      <w:r>
        <w:t>Work in an open change affects only my workspace until promoted</w:t>
      </w:r>
    </w:p>
    <w:p>
      <w:pPr>
        <w:pStyle w:val="ListBullet"/>
        <w:ind w:left="720"/>
      </w:pPr>
      <w:r>
        <w:t>A persistent indicator in the editor distinguishes: no change started / change open / work not in a change — visible without opening the tool</w:t>
      </w:r>
    </w:p>
    <w:p>
      <w:pPr>
        <w:pStyle w:val="Heading2"/>
      </w:pPr>
      <w:r>
        <w:t>Step 3 — Perform the change: capture that cannot be forgotten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US-5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my work captured without doing anything about it, because I will forget — and so will everyone else.</w:t>
      </w:r>
    </w:p>
    <w:p>
      <w:pPr>
        <w:pStyle w:val="ListBullet"/>
        <w:ind w:left="720"/>
      </w:pPr>
      <w:r>
        <w:t>Every create, update and delete is captured on save, and versioned</w:t>
      </w:r>
    </w:p>
    <w:p>
      <w:pPr>
        <w:pStyle w:val="ListBullet"/>
        <w:ind w:left="720"/>
      </w:pPr>
      <w:r>
        <w:t>Capture is identical whatever made the change: editor, portal, wizard, or the AI builder; no user action is required — and none is offered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US-6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nobody editing the same thing as me, so that my afternoon's work doesn't vanish because a colleague saved after I did.</w:t>
      </w:r>
    </w:p>
    <w:p>
      <w:pPr>
        <w:pStyle w:val="ListBullet"/>
        <w:ind w:left="720"/>
      </w:pPr>
      <w:r>
        <w:t>Opening an artifact for edit holds it for me; a held artifact is read-only for others, and names the holder</w:t>
      </w:r>
    </w:p>
    <w:p>
      <w:pPr>
        <w:pStyle w:val="ListBullet"/>
        <w:ind w:left="720"/>
      </w:pPr>
      <w:r>
        <w:t>Holds release when the change is sent forward or abandoned; a handover can be requested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US-7  </w:t>
      </w:r>
      <w:r>
        <w:rPr>
          <w:b/>
          <w:color w:val="9A6B15"/>
          <w:sz w:val="19"/>
        </w:rPr>
        <w:t>(P1)</w:t>
      </w:r>
    </w:p>
    <w:p>
      <w:pPr>
        <w:spacing w:after="60"/>
        <w:ind w:left="259"/>
      </w:pPr>
      <w:r>
        <w:rPr>
          <w:i/>
        </w:rPr>
        <w:t>As an integration builder, I want the work I built before starting a change not to be lost, because I didn't read the guidance the first time.</w:t>
      </w:r>
    </w:p>
    <w:p>
      <w:pPr>
        <w:pStyle w:val="ListBullet"/>
        <w:ind w:left="720"/>
      </w:pPr>
      <w:r>
        <w:t>Work captured with no change open is kept as “not in a change yet”, never discarded</w:t>
      </w:r>
    </w:p>
    <w:p>
      <w:pPr>
        <w:pStyle w:val="ListBullet"/>
        <w:ind w:left="720"/>
      </w:pPr>
      <w:r>
        <w:t>It can be adopted selectively, with a collision warning if someone else touched the same items in the meantime</w:t>
      </w:r>
    </w:p>
    <w:p>
      <w:pPr>
        <w:pStyle w:val="Heading2"/>
      </w:pPr>
      <w:r>
        <w:t>Step 4 — Pick what travels: the cherry-pick list, without the phrase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US-8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see everything I've changed, grouped so I can scan it, and choose exactly what goes forward — so an urgent fix doesn't have to wait for an unfinished project.</w:t>
      </w:r>
    </w:p>
    <w:p>
      <w:pPr>
        <w:pStyle w:val="ListBullet"/>
        <w:ind w:left="720"/>
      </w:pPr>
      <w:r>
        <w:t>The change list groups by artifact kind with version, time and source</w:t>
      </w:r>
    </w:p>
    <w:p>
      <w:pPr>
        <w:pStyle w:val="ListBullet"/>
        <w:ind w:left="720"/>
      </w:pPr>
      <w:r>
        <w:t>Items are individually selectable; deletions appear as deletions, described by what the artifact was</w:t>
      </w:r>
    </w:p>
    <w:p>
      <w:pPr>
        <w:pStyle w:val="Heading2"/>
      </w:pPr>
      <w:r>
        <w:t>Step 5 — Safety check: the reason this product exists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US-9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be stopped before I send an incomplete change, because finding out in Test costs me a day and my credibility.</w:t>
      </w:r>
    </w:p>
    <w:p>
      <w:pPr>
        <w:pStyle w:val="ListBullet"/>
        <w:ind w:left="720"/>
      </w:pPr>
      <w:r>
        <w:t>The check runs automatically on reaching the step — it is not a button</w:t>
      </w:r>
    </w:p>
    <w:p>
      <w:pPr>
        <w:pStyle w:val="ListBullet"/>
        <w:ind w:left="720"/>
      </w:pPr>
      <w:r>
        <w:t>It is transitive, read from the artifacts themselves</w:t>
      </w:r>
    </w:p>
    <w:p>
      <w:pPr>
        <w:pStyle w:val="ListBullet"/>
        <w:ind w:left="720"/>
      </w:pPr>
      <w:r>
        <w:t>Blocking findings prevent submission; each one fixable by adding an item is fixed in one click, and the check re-runs</w:t>
      </w:r>
    </w:p>
    <w:p>
      <w:pPr>
        <w:pStyle w:val="ListBullet"/>
        <w:ind w:left="720"/>
      </w:pPr>
      <w:r>
        <w:t>Findings state the consequence in plain language: what will break, and when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US-10  </w:t>
      </w:r>
      <w:r>
        <w:rPr>
          <w:b/>
          <w:color w:val="9A6B15"/>
          <w:sz w:val="19"/>
        </w:rPr>
        <w:t>(P1)</w:t>
      </w:r>
    </w:p>
    <w:p>
      <w:pPr>
        <w:spacing w:after="60"/>
        <w:ind w:left="259"/>
      </w:pPr>
      <w:r>
        <w:rPr>
          <w:i/>
        </w:rPr>
        <w:t>As an integration builder, I want to be warned about things that don't travel cleanly — passwords, environment-specific settings — so that Test doesn't end up pointing at a Production endpoint.</w:t>
      </w:r>
    </w:p>
    <w:p>
      <w:pPr>
        <w:pStyle w:val="ListBullet"/>
        <w:ind w:left="720"/>
      </w:pPr>
      <w:r>
        <w:t>Secrets and environment-bound settings are detected and reported as warnings, acknowledged individually, never in bulk</w:t>
      </w:r>
    </w:p>
    <w:p>
      <w:pPr>
        <w:pStyle w:val="Heading2"/>
      </w:pPr>
      <w:r>
        <w:t>Step 6 — Promote: from “raise a ticket” to “watch it land”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US-11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explain what I did and why once, so that the approver doesn't come back to me with questions.</w:t>
      </w:r>
    </w:p>
    <w:p>
      <w:pPr>
        <w:pStyle w:val="ListBullet"/>
        <w:ind w:left="720"/>
      </w:pPr>
      <w:r>
        <w:t>What changed, why, risk, rollback and timing are captured with the change request; the item list attaches automatically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US-12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builder, I want to watch my change reach Test, and then send the same items on to Production without picking them again — so promotion is minutes of my attention, not days of someone else's queue.</w:t>
      </w:r>
    </w:p>
    <w:p>
      <w:pPr>
        <w:pStyle w:val="ListBullet"/>
        <w:ind w:left="720"/>
      </w:pPr>
      <w:r>
        <w:t>Every change shows its position in the promotion path, with state, time and actor per stage</w:t>
      </w:r>
    </w:p>
    <w:p>
      <w:pPr>
        <w:pStyle w:val="ListBullet"/>
        <w:ind w:left="720"/>
      </w:pPr>
      <w:r>
        <w:t>“Send on” reuses the same item set; the safety check re-runs against the new target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US-13  </w:t>
      </w:r>
      <w:r>
        <w:rPr>
          <w:b/>
          <w:color w:val="1D5FAD"/>
          <w:sz w:val="19"/>
        </w:rPr>
        <w:t>(P0)</w:t>
      </w:r>
    </w:p>
    <w:p>
      <w:pPr>
        <w:spacing w:after="60"/>
        <w:ind w:left="259"/>
      </w:pPr>
      <w:r>
        <w:rPr>
          <w:i/>
        </w:rPr>
        <w:t>As an integration lead, I want changes into Test and Production to wait for my approval, described in my language, so that sign-off is a real review and not a rubber stamp.</w:t>
      </w:r>
    </w:p>
    <w:p>
      <w:pPr>
        <w:pStyle w:val="ListBullet"/>
        <w:ind w:left="720"/>
      </w:pPr>
      <w:r>
        <w:t>Approval is per environment with configurable approvers</w:t>
      </w:r>
    </w:p>
    <w:p>
      <w:pPr>
        <w:pStyle w:val="ListBullet"/>
        <w:ind w:left="720"/>
      </w:pPr>
      <w:r>
        <w:t>Every state transition is recorded with actor and timestamp, append-only</w:t>
      </w:r>
    </w:p>
    <w:p>
      <w:pPr>
        <w:keepNext/>
        <w:spacing w:before="160"/>
        <w:ind w:left="259"/>
      </w:pPr>
      <w:r>
        <w:rPr>
          <w:b/>
          <w:color w:val="1D5FAD"/>
          <w:sz w:val="19"/>
        </w:rPr>
        <w:t xml:space="preserve">US-14  </w:t>
      </w:r>
      <w:r>
        <w:rPr>
          <w:b/>
          <w:color w:val="9A6B15"/>
          <w:sz w:val="19"/>
        </w:rPr>
        <w:t>(P1)</w:t>
      </w:r>
    </w:p>
    <w:p>
      <w:pPr>
        <w:spacing w:after="60"/>
        <w:ind w:left="259"/>
      </w:pPr>
      <w:r>
        <w:rPr>
          <w:i/>
        </w:rPr>
        <w:t>As a platform administrator, I want to configure where changes go and who approves, so that the tool matches how this organisation works — once, without a developer.</w:t>
      </w:r>
    </w:p>
    <w:p>
      <w:pPr>
        <w:pStyle w:val="ListBullet"/>
        <w:ind w:left="720"/>
      </w:pPr>
      <w:r>
        <w:t>Promotion path, target namespaces, approval level and approvers are configurable per environment; cycles are refused</w:t>
      </w:r>
    </w:p>
    <w:p>
      <w:pPr>
        <w:pStyle w:val="ListBullet"/>
        <w:ind w:left="720"/>
      </w:pPr>
      <w:r>
        <w:t>Builders see the route read-only</w:t>
      </w:r>
    </w:p>
    <w:p>
      <w:pPr>
        <w:pStyle w:val="Heading1"/>
      </w:pPr>
      <w:r>
        <w:t>6 · Value and risk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120"/>
        <w:gridCol w:w="3120"/>
        <w:gridCol w:w="3120"/>
      </w:tblGrid>
      <w:tr>
        <w:tc>
          <w:tcPr>
            <w:tcW w:type="dxa" w:w="2448"/>
            <w:shd w:val="clear" w:fill="E3EDF8"/>
          </w:tcPr>
          <w:p>
            <w:r>
              <w:rPr>
                <w:b/>
                <w:color w:val="1C2B36"/>
                <w:sz w:val="19"/>
              </w:rPr>
              <w:t>Risk dimension</w:t>
            </w:r>
          </w:p>
        </w:tc>
        <w:tc>
          <w:tcPr>
            <w:tcW w:type="dxa" w:w="1152"/>
            <w:shd w:val="clear" w:fill="E3EDF8"/>
          </w:tcPr>
          <w:p>
            <w:r>
              <w:rPr>
                <w:b/>
                <w:color w:val="1C2B36"/>
                <w:sz w:val="19"/>
              </w:rPr>
              <w:t>Level</w:t>
            </w:r>
          </w:p>
        </w:tc>
        <w:tc>
          <w:tcPr>
            <w:tcW w:type="dxa" w:w="5760"/>
            <w:shd w:val="clear" w:fill="E3EDF8"/>
          </w:tcPr>
          <w:p>
            <w:r>
              <w:rPr>
                <w:b/>
                <w:color w:val="1C2B36"/>
                <w:sz w:val="19"/>
              </w:rPr>
              <w:t>Assessment &amp; mitigation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Value — will they use it?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The pain is routine and personally felt (broken Test, lost work, ticket queues). The one-sentence brief came from the persona verbatim.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Usability — can they figure it out?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The whole product is a usability bet: no Git vocabulary, guidance before the first mistake, one-click fixes. Copy review is a release gate; the prototype has settled screens and wording.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Feasibility — can we build it?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Capture, promotion and deployment reuse Embedded Git, merge requests and the existing pipeline. The genuinely new part — transitive dependency analysis — is proven in the prototype against real production definitions.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Business viability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Differentiates Health Connect Cloud on a failure mode competitors are known for; the platform team stops being a human deployment pipeline.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Regulatory / compliance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Interface changes move PHI-bearing pipelines, so change control is itself a compliance surface: attributed actions, append-only audit, exportable history, bypassed approvals permanently marked.</w:t>
            </w:r>
          </w:p>
        </w:tc>
      </w:tr>
    </w:tbl>
    <w:p>
      <w:pPr>
        <w:spacing w:after="40"/>
      </w:pPr>
    </w:p>
    <w:p>
      <w:pPr>
        <w:pStyle w:val="Heading1"/>
      </w:pPr>
      <w:r>
        <w:t>7 · Goals, metrics and anti-goals</w:t>
      </w:r>
    </w:p>
    <w:p>
      <w:r>
        <w:rPr>
          <w:b/>
        </w:rPr>
        <w:t xml:space="preserve">Primary business goal. </w:t>
      </w:r>
      <w:r>
        <w:rPr>
          <w:i w:val="0"/>
        </w:rPr>
        <w:t>Make safe, auditable environment promotion a self-service capability of Health Connect Cloud — usable by the integration builder, not just by developers.</w:t>
      </w:r>
    </w:p>
    <w:p>
      <w:pPr>
        <w:pStyle w:val="Heading3"/>
      </w:pPr>
      <w:r>
        <w:t>Customer success metrics (leading)</w:t>
      </w:r>
    </w:p>
    <w:p>
      <w:pPr>
        <w:pStyle w:val="ListBullet"/>
      </w:pPr>
      <w:r>
        <w:t>Failed deployments caused by incomplete change sets → 0</w:t>
      </w:r>
    </w:p>
    <w:p>
      <w:pPr>
        <w:pStyle w:val="ListBullet"/>
      </w:pPr>
      <w:r>
        <w:t>Elapsed time from “change finished in Dev” to “running in Test”: days → under one hour</w:t>
      </w:r>
    </w:p>
    <w:p>
      <w:pPr>
        <w:pStyle w:val="ListBullet"/>
      </w:pPr>
      <w:r>
        <w:t>Promotion tickets raised to the platform team → near zero</w:t>
      </w:r>
    </w:p>
    <w:p>
      <w:pPr>
        <w:pStyle w:val="ListBullet"/>
      </w:pPr>
      <w:r>
        <w:t>Silent overwrite incidents between builders → 0</w:t>
      </w:r>
    </w:p>
    <w:p>
      <w:pPr>
        <w:pStyle w:val="ListBullet"/>
      </w:pPr>
      <w:r>
        <w:t>A new builder promotes a change end-to-end, unassisted, in their first week</w:t>
      </w:r>
    </w:p>
    <w:p>
      <w:pPr>
        <w:pStyle w:val="Heading3"/>
      </w:pPr>
      <w:r>
        <w:t>Business metrics (lagging)</w:t>
      </w:r>
    </w:p>
    <w:p>
      <w:pPr>
        <w:pStyle w:val="ListBullet"/>
      </w:pPr>
      <w:r>
        <w:t>Health Connect Cloud retention and expansion in accounts citing change management as a pain</w:t>
      </w:r>
    </w:p>
    <w:p>
      <w:pPr>
        <w:pStyle w:val="ListBullet"/>
      </w:pPr>
      <w:r>
        <w:t>Support case volume for broken Test/Prod deployments</w:t>
      </w:r>
    </w:p>
    <w:p>
      <w:pPr>
        <w:pStyle w:val="Heading3"/>
      </w:pPr>
      <w:r>
        <w:t>Anti-goals</w:t>
      </w:r>
    </w:p>
    <w:p>
      <w:pPr>
        <w:pStyle w:val="ListBullet"/>
      </w:pPr>
      <w:r>
        <w:t>Not a replacement for the Interoperability editor or Management Portal — it governs change, it does not author it</w:t>
      </w:r>
    </w:p>
    <w:p>
      <w:pPr>
        <w:pStyle w:val="ListBullet"/>
      </w:pPr>
      <w:r>
        <w:t>Not a Git client for builders — no branch names, no merge UI, no conflict resolution surface (concurrent edits are prevented, not merged)</w:t>
      </w:r>
    </w:p>
    <w:p>
      <w:pPr>
        <w:pStyle w:val="ListBullet"/>
      </w:pPr>
      <w:r>
        <w:t>Not a bespoke deployment engine — promotion rides the platform's existing pipeline</w:t>
      </w:r>
    </w:p>
    <w:p>
      <w:pPr>
        <w:pStyle w:val="ListBullet"/>
      </w:pPr>
      <w:r>
        <w:t>Not a code review tool — approvers review described intent and item lists, not diffs</w:t>
      </w:r>
    </w:p>
    <w:p>
      <w:pPr>
        <w:pStyle w:val="Heading1"/>
      </w:pPr>
      <w:r>
        <w:t>8 ·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4680"/>
        <w:gridCol w:w="4680"/>
      </w:tblGrid>
      <w:tr>
        <w:tc>
          <w:tcPr>
            <w:tcW w:type="dxa" w:w="2160"/>
            <w:shd w:val="clear" w:fill="E3EDF8"/>
          </w:tcPr>
          <w:p>
            <w:r>
              <w:rPr>
                <w:b/>
                <w:color w:val="1C2B36"/>
                <w:sz w:val="19"/>
              </w:rPr>
              <w:t>Area</w:t>
            </w:r>
          </w:p>
        </w:tc>
        <w:tc>
          <w:tcPr>
            <w:tcW w:type="dxa" w:w="7200"/>
            <w:shd w:val="clear" w:fill="E3EDF8"/>
          </w:tcPr>
          <w:p>
            <w:r>
              <w:rPr>
                <w:b/>
                <w:color w:val="1C2B36"/>
                <w:sz w:val="19"/>
              </w:rPr>
              <w:t>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Identity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Every action attributed to the authenticated platform user, using the Interoperability editor's own sign-in — no second login, no anonymous path.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All state transitions append-only with actor and timestamp; exportable; simulated or bypassed approvals permanently marked as such.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Authorisation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Approving requires a role the submitter need not hold.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Concurrency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Holds correct under simultaneous access; reference allocation never collides.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Change list under 2 s and safety check under 5 s on a namespace with several hundred artifacts.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Resilience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A dropped connection mid-submission never produces a half-created change request.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Accessibility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Keyboard navigable; status never conveyed by colour alone — every dot is paired with a word.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Coexistence</w:t>
            </w:r>
          </w:p>
        </w:tc>
        <w:tc>
          <w:tcPr>
            <w:tcW w:type="dxa" w:w="7200"/>
          </w:tcPr>
          <w:p>
            <w:r>
              <w:rPr>
                <w:sz w:val="19"/>
              </w:rPr>
              <w:t>Installs alongside other editor extensions (e.g. the Agentic Integration Builder) with zero shared identifiers, storage or interference.</w:t>
            </w:r>
          </w:p>
        </w:tc>
      </w:tr>
    </w:tbl>
    <w:p>
      <w:pPr>
        <w:spacing w:after="40"/>
      </w:pPr>
    </w:p>
    <w:p>
      <w:pPr>
        <w:pStyle w:val="Heading1"/>
      </w:pPr>
      <w:r>
        <w:t>9 · Open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120"/>
        <w:gridCol w:w="3120"/>
        <w:gridCol w:w="3120"/>
      </w:tblGrid>
      <w:tr>
        <w:tc>
          <w:tcPr>
            <w:tcW w:type="dxa" w:w="576"/>
            <w:shd w:val="clear" w:fill="E3EDF8"/>
          </w:tcPr>
          <w:p>
            <w:r>
              <w:rPr>
                <w:b/>
                <w:color w:val="1C2B36"/>
                <w:sz w:val="19"/>
              </w:rPr>
              <w:t>#</w:t>
            </w:r>
          </w:p>
        </w:tc>
        <w:tc>
          <w:tcPr>
            <w:tcW w:type="dxa" w:w="6480"/>
            <w:shd w:val="clear" w:fill="E3EDF8"/>
          </w:tcPr>
          <w:p>
            <w:r>
              <w:rPr>
                <w:b/>
                <w:color w:val="1C2B36"/>
                <w:sz w:val="19"/>
              </w:rPr>
              <w:t>Question</w:t>
            </w:r>
          </w:p>
        </w:tc>
        <w:tc>
          <w:tcPr>
            <w:tcW w:type="dxa" w:w="2304"/>
            <w:shd w:val="clear" w:fill="E3EDF8"/>
          </w:tcPr>
          <w:p>
            <w:r>
              <w:rPr>
                <w:b/>
                <w:color w:val="1C2B36"/>
                <w:sz w:val="19"/>
              </w:rPr>
              <w:t>Owner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Behaviour when a hold's owner is unavailable: timeout, lead override, or both?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PM + Eng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Is prevention (no merges, ever) acceptable to real teams, or will contention force a resolution flow later?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PM — instrument handovers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Self-approval: permitted with an audit marker, or refused outright?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PM + Compliance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Cross-environment deployment was fixture-only in the prototype — validate arrival, rejection and reopen against a true multi-deployment setup.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Eng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Which languages for launch? Copy carries most of the design, so localisation scope shapes effort materially.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PM + Localisation</w:t>
            </w:r>
          </w:p>
        </w:tc>
      </w:tr>
    </w:tbl>
    <w:p>
      <w:pPr>
        <w:spacing w:after="40"/>
      </w:pPr>
    </w:p>
    <w:p>
      <w:r>
        <w:rPr>
          <w:b/>
        </w:rPr>
        <w:t xml:space="preserve">Evidence base. </w:t>
      </w:r>
      <w:r>
        <w:rPr>
          <w:i w:val="0"/>
        </w:rPr>
        <w:t>Screens, vocabulary, gate policy and the dependency analysis are settled by the working prototype in the HCCCICD repository — capture, holds, the safety check and the promotion workflow have all been exercised for real. What the prototype could not settle on a single instance (true multi-environment arrival, contended multi-user holds, scale) is listed above, deliberately. Full requirement numbering (FR-*, NFR-*) lives in docs/SPECIFICATION.md.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A6B78"/>
        <w:sz w:val="16"/>
      </w:rPr>
      <w:t>Change Control for Health Connect Cloud — PRD draft · prototype: github.com/dfrancoisc/HCCCICD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A6B78"/>
        <w:sz w:val="16"/>
      </w:rPr>
      <w:t>Change Control for Health Connect Cloud — PRD draft · prototype: github.com/dfrancoisc/HCCCICD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A6B78"/>
        <w:sz w:val="16"/>
      </w:rPr>
      <w:t>Change Control for Health Connect Cloud — PRD draft · prototype: github.com/dfrancoisc/HCCCICD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C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D5FA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C2B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2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color w:val="1C2B3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