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843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43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563C99"/>
          <w:sz w:val="44"/>
        </w:rPr>
        <w:t>Supplement Structure</w:t>
      </w:r>
    </w:p>
    <w:p>
      <w:pPr>
        <w:jc w:val="center"/>
        <w:pBdr>
          <w:bottom w:val="single" w:sz="10" w:space="1" w:color="563C99"/>
        </w:pBdr>
      </w:pPr>
      <w:r>
        <w:rPr>
          <w:rFonts w:ascii="Arial" w:hAnsi="Arial"/>
          <w:color w:val="6E55AA"/>
          <w:sz w:val="20"/>
        </w:rPr>
        <w:t>Quantyra Research</w:t>
      </w:r>
    </w:p>
    <w:p/>
    <w:p/>
    <w:p>
      <w:r>
        <w:rPr>
          <w:rFonts w:ascii="Times New Roman" w:hAnsi="Times New Roman"/>
          <w:color w:val="222222"/>
          <w:sz w:val="22"/>
        </w:rPr>
        <w:t>Date: 2026-03-15</w:t>
      </w:r>
    </w:p>
    <w:p>
      <w:r>
        <w:rPr>
          <w:rFonts w:ascii="Times New Roman" w:hAnsi="Times New Roman"/>
          <w:color w:val="222222"/>
          <w:sz w:val="22"/>
        </w:rPr>
        <w:t xml:space="preserve">Target venue: </w:t>
      </w:r>
      <w:r>
        <w:rPr>
          <w:rFonts w:ascii="Courier New" w:hAnsi="Courier New"/>
          <w:color w:val="222222"/>
          <w:sz w:val="22"/>
        </w:rPr>
        <w:t>Empirical Software Engineering</w:t>
      </w:r>
    </w:p>
    <w:p/>
    <w:p>
      <w:pPr>
        <w:pStyle w:val="Heading1"/>
      </w:pPr>
      <w:r>
        <w:rPr>
          <w:rFonts w:ascii="Arial" w:hAnsi="Arial"/>
          <w:color w:val="222222"/>
          <w:sz w:val="30"/>
        </w:rPr>
        <w:t>Purpose</w:t>
      </w:r>
    </w:p>
    <w:p/>
    <w:p>
      <w:r>
        <w:rPr>
          <w:rFonts w:ascii="Times New Roman" w:hAnsi="Times New Roman"/>
          <w:color w:val="222222"/>
          <w:sz w:val="22"/>
        </w:rPr>
        <w:t>Define the external-facing supplement or appendix structure that should accompany the journal submission.</w:t>
      </w:r>
    </w:p>
    <w:p/>
    <w:p>
      <w:pPr>
        <w:pStyle w:val="Heading1"/>
      </w:pPr>
      <w:r>
        <w:rPr>
          <w:rFonts w:ascii="Arial" w:hAnsi="Arial"/>
          <w:color w:val="222222"/>
          <w:sz w:val="30"/>
        </w:rPr>
        <w:t>Recommended Structure</w:t>
      </w:r>
    </w:p>
    <w:p/>
    <w:p>
      <w:pPr>
        <w:pStyle w:val="Heading2"/>
      </w:pPr>
      <w:r>
        <w:rPr>
          <w:rFonts w:ascii="Arial" w:hAnsi="Arial"/>
          <w:color w:val="222222"/>
          <w:sz w:val="24"/>
        </w:rPr>
        <w:t>Supplement A. Benchmark Condition Definitions</w:t>
      </w:r>
    </w:p>
    <w:p/>
    <w:p>
      <w:r>
        <w:rPr>
          <w:rFonts w:ascii="Times New Roman" w:hAnsi="Times New Roman"/>
          <w:color w:val="222222"/>
          <w:sz w:val="22"/>
        </w:rPr>
        <w:t>Include:</w:t>
      </w:r>
    </w:p>
    <w:p/>
    <w:p>
      <w:pPr>
        <w:pStyle w:val="ListBullet"/>
      </w:pPr>
      <w:r>
        <w:rPr>
          <w:rFonts w:ascii="Times New Roman" w:hAnsi="Times New Roman"/>
          <w:color w:val="222222"/>
          <w:sz w:val="22"/>
        </w:rPr>
        <w:t>baseline condition definition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>taught condition definition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>correction and takeover condition definitions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>quality-bar loop terminology</w:t>
      </w:r>
    </w:p>
    <w:p>
      <w:pPr>
        <w:pStyle w:val="ListBullet"/>
      </w:pPr>
      <w:r>
        <w:rPr>
          <w:rFonts w:ascii="Courier New" w:hAnsi="Courier New"/>
          <w:color w:val="222222"/>
          <w:sz w:val="22"/>
        </w:rPr>
        <w:t>pass-core</w:t>
      </w:r>
      <w:r>
        <w:rPr>
          <w:rFonts w:ascii="Times New Roman" w:hAnsi="Times New Roman"/>
          <w:color w:val="222222"/>
          <w:sz w:val="22"/>
        </w:rPr>
        <w:t xml:space="preserve">, </w:t>
      </w:r>
      <w:r>
        <w:rPr>
          <w:rFonts w:ascii="Courier New" w:hAnsi="Courier New"/>
          <w:color w:val="222222"/>
          <w:sz w:val="22"/>
        </w:rPr>
        <w:t>pass-stretch</w:t>
      </w:r>
      <w:r>
        <w:rPr>
          <w:rFonts w:ascii="Times New Roman" w:hAnsi="Times New Roman"/>
          <w:color w:val="222222"/>
          <w:sz w:val="22"/>
        </w:rPr>
        <w:t xml:space="preserve">, </w:t>
      </w:r>
      <w:r>
        <w:rPr>
          <w:rFonts w:ascii="Courier New" w:hAnsi="Courier New"/>
          <w:color w:val="222222"/>
          <w:sz w:val="22"/>
        </w:rPr>
        <w:t>fail-cap</w:t>
      </w:r>
      <w:r>
        <w:rPr>
          <w:rFonts w:ascii="Times New Roman" w:hAnsi="Times New Roman"/>
          <w:color w:val="222222"/>
          <w:sz w:val="22"/>
        </w:rPr>
        <w:t xml:space="preserve">, and </w:t>
      </w:r>
      <w:r>
        <w:rPr>
          <w:rFonts w:ascii="Courier New" w:hAnsi="Courier New"/>
          <w:color w:val="222222"/>
          <w:sz w:val="22"/>
        </w:rPr>
        <w:t>blocked</w:t>
      </w:r>
    </w:p>
    <w:p/>
    <w:p>
      <w:r>
        <w:rPr>
          <w:rFonts w:ascii="Times New Roman" w:hAnsi="Times New Roman"/>
          <w:color w:val="222222"/>
          <w:sz w:val="22"/>
        </w:rPr>
        <w:t>Primary source material:</w:t>
      </w:r>
    </w:p>
    <w:p/>
    <w:p>
      <w:pPr>
        <w:pStyle w:val="ListBullet"/>
      </w:pPr>
      <w:r>
        <w:rPr>
          <w:rFonts w:ascii="Times New Roman" w:hAnsi="Times New Roman"/>
          <w:color w:val="222222"/>
          <w:sz w:val="22"/>
        </w:rPr>
        <w:t>[methods-reporting-checklist-journal-v1.md](C:\Users\Dan\Desktop\Projects\Quantyra-Teaching\docs\evidence\methods-reporting-checklist-journal-v1.md)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>[manuscript-transparency-appendix-note-v1.md](C:\Users\Dan\Desktop\Projects\Quantyra-Teaching\docs\evidence\manuscript-transparency-appendix-note-v1.md)</w:t>
      </w:r>
    </w:p>
    <w:p/>
    <w:p>
      <w:pPr>
        <w:pStyle w:val="Heading2"/>
      </w:pPr>
      <w:r>
        <w:rPr>
          <w:rFonts w:ascii="Arial" w:hAnsi="Arial"/>
          <w:color w:val="222222"/>
          <w:sz w:val="24"/>
        </w:rPr>
        <w:t>Supplement B. Run Accounting And Selection Logic</w:t>
      </w:r>
    </w:p>
    <w:p/>
    <w:p>
      <w:r>
        <w:rPr>
          <w:rFonts w:ascii="Times New Roman" w:hAnsi="Times New Roman"/>
          <w:color w:val="222222"/>
          <w:sz w:val="22"/>
        </w:rPr>
        <w:t>Include:</w:t>
      </w:r>
    </w:p>
    <w:p/>
    <w:p>
      <w:pPr>
        <w:pStyle w:val="ListBullet"/>
      </w:pPr>
      <w:r>
        <w:rPr>
          <w:rFonts w:ascii="Times New Roman" w:hAnsi="Times New Roman"/>
          <w:color w:val="222222"/>
          <w:sz w:val="22"/>
        </w:rPr>
        <w:t>branch-level run universes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>current evidence-bearing versus superseded runs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>incomplete versus complete branch status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>treatment of exploratory subsets such as BP006</w:t>
      </w:r>
    </w:p>
    <w:p/>
    <w:p>
      <w:r>
        <w:rPr>
          <w:rFonts w:ascii="Times New Roman" w:hAnsi="Times New Roman"/>
          <w:color w:val="222222"/>
          <w:sz w:val="22"/>
        </w:rPr>
        <w:t>Primary source material:</w:t>
      </w:r>
    </w:p>
    <w:p/>
    <w:p>
      <w:pPr>
        <w:pStyle w:val="ListBullet"/>
      </w:pPr>
      <w:r>
        <w:rPr>
          <w:rFonts w:ascii="Times New Roman" w:hAnsi="Times New Roman"/>
          <w:color w:val="222222"/>
          <w:sz w:val="22"/>
        </w:rPr>
        <w:t>[run-accounting-transparency-memo-v1.md](C:\Users\Dan\Desktop\Projects\Quantyra-Teaching\docs\evidence\run-accounting-transparency-memo-v1.md)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>[retained-selection-reporting-note-v1.md](C:\Users\Dan\Desktop\Projects\Quantyra-Teaching\docs\evidence\retained-selection-reporting-note-v1.md)</w:t>
      </w:r>
    </w:p>
    <w:p/>
    <w:p>
      <w:pPr>
        <w:pStyle w:val="Heading2"/>
      </w:pPr>
      <w:r>
        <w:rPr>
          <w:rFonts w:ascii="Arial" w:hAnsi="Arial"/>
          <w:color w:val="222222"/>
          <w:sz w:val="24"/>
        </w:rPr>
        <w:t>Supplement C. Scoring Rubric And Reviewer Procedures</w:t>
      </w:r>
    </w:p>
    <w:p/>
    <w:p>
      <w:r>
        <w:rPr>
          <w:rFonts w:ascii="Times New Roman" w:hAnsi="Times New Roman"/>
          <w:color w:val="222222"/>
          <w:sz w:val="22"/>
        </w:rPr>
        <w:t>Include:</w:t>
      </w:r>
    </w:p>
    <w:p/>
    <w:p>
      <w:pPr>
        <w:pStyle w:val="ListBullet"/>
      </w:pPr>
      <w:r>
        <w:rPr>
          <w:rFonts w:ascii="Times New Roman" w:hAnsi="Times New Roman"/>
          <w:color w:val="222222"/>
          <w:sz w:val="22"/>
        </w:rPr>
        <w:t>scoring rubric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>worksheet structure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>operator-side scoring note</w:t>
      </w:r>
    </w:p>
    <w:p>
      <w:pPr>
        <w:pStyle w:val="ListBullet"/>
      </w:pPr>
      <w:r>
        <w:rPr>
          <w:rFonts w:ascii="Courier New" w:hAnsi="Courier New"/>
          <w:color w:val="222222"/>
          <w:sz w:val="22"/>
        </w:rPr>
        <w:t>L2A</w:t>
      </w:r>
      <w:r>
        <w:rPr>
          <w:rFonts w:ascii="Times New Roman" w:hAnsi="Times New Roman"/>
          <w:color w:val="222222"/>
          <w:sz w:val="22"/>
        </w:rPr>
        <w:t xml:space="preserve"> model-review note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 xml:space="preserve">human </w:t>
      </w:r>
      <w:r>
        <w:rPr>
          <w:rFonts w:ascii="Courier New" w:hAnsi="Courier New"/>
          <w:color w:val="222222"/>
          <w:sz w:val="22"/>
        </w:rPr>
        <w:t>L2</w:t>
      </w:r>
      <w:r>
        <w:rPr>
          <w:rFonts w:ascii="Times New Roman" w:hAnsi="Times New Roman"/>
          <w:color w:val="222222"/>
          <w:sz w:val="22"/>
        </w:rPr>
        <w:t xml:space="preserve"> process and status</w:t>
      </w:r>
    </w:p>
    <w:p/>
    <w:p>
      <w:r>
        <w:rPr>
          <w:rFonts w:ascii="Times New Roman" w:hAnsi="Times New Roman"/>
          <w:color w:val="222222"/>
          <w:sz w:val="22"/>
        </w:rPr>
        <w:t>Primary source material:</w:t>
      </w:r>
    </w:p>
    <w:p/>
    <w:p>
      <w:pPr>
        <w:pStyle w:val="ListBullet"/>
      </w:pPr>
      <w:r>
        <w:rPr>
          <w:rFonts w:ascii="Times New Roman" w:hAnsi="Times New Roman"/>
          <w:color w:val="222222"/>
          <w:sz w:val="22"/>
        </w:rPr>
        <w:t>[scoring-rubric-v1.md](C:\Users\Dan\Desktop\Projects\Quantyra-Teaching\docs\benchmarks\scoring-rubric-v1.md)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>[l2-review-handoff-protocol.md](C:\Users\Dan\Desktop\Projects\Quantyra-Teaching\docs\process\l2-review-handoff-protocol.md)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>[anthropic-llm-judge-best-practices-v1.md](C:\Users\Dan\Desktop\Projects\Quantyra-Teaching\docs\benchmarks\anthropic-llm-judge-best-practices-v1.md)</w:t>
      </w:r>
    </w:p>
    <w:p/>
    <w:p>
      <w:pPr>
        <w:pStyle w:val="Heading2"/>
      </w:pPr>
      <w:r>
        <w:rPr>
          <w:rFonts w:ascii="Arial" w:hAnsi="Arial"/>
          <w:color w:val="222222"/>
          <w:sz w:val="24"/>
        </w:rPr>
        <w:t>Supplement D. Hosted Result Tables</w:t>
      </w:r>
    </w:p>
    <w:p/>
    <w:p>
      <w:r>
        <w:rPr>
          <w:rFonts w:ascii="Times New Roman" w:hAnsi="Times New Roman"/>
          <w:color w:val="222222"/>
          <w:sz w:val="22"/>
        </w:rPr>
        <w:t>Include expanded hosted tables with:</w:t>
      </w:r>
    </w:p>
    <w:p/>
    <w:p>
      <w:pPr>
        <w:pStyle w:val="ListBullet"/>
      </w:pPr>
      <w:r>
        <w:rPr>
          <w:rFonts w:ascii="Times New Roman" w:hAnsi="Times New Roman"/>
          <w:color w:val="222222"/>
          <w:sz w:val="22"/>
        </w:rPr>
        <w:t>provider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>model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>benchmark family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>baseline total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>taught total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>notes on review status</w:t>
      </w:r>
    </w:p>
    <w:p/>
    <w:p>
      <w:pPr>
        <w:pStyle w:val="Heading2"/>
      </w:pPr>
      <w:r>
        <w:rPr>
          <w:rFonts w:ascii="Arial" w:hAnsi="Arial"/>
          <w:color w:val="222222"/>
          <w:sz w:val="24"/>
        </w:rPr>
        <w:t>Supplement E. Local Result Tables</w:t>
      </w:r>
    </w:p>
    <w:p/>
    <w:p>
      <w:r>
        <w:rPr>
          <w:rFonts w:ascii="Times New Roman" w:hAnsi="Times New Roman"/>
          <w:color w:val="222222"/>
          <w:sz w:val="22"/>
        </w:rPr>
        <w:t>Include:</w:t>
      </w:r>
    </w:p>
    <w:p/>
    <w:p>
      <w:pPr>
        <w:pStyle w:val="ListBullet"/>
      </w:pPr>
      <w:r>
        <w:rPr>
          <w:rFonts w:ascii="Times New Roman" w:hAnsi="Times New Roman"/>
          <w:color w:val="222222"/>
          <w:sz w:val="22"/>
        </w:rPr>
        <w:t>open-weight BP001 model table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>BP007B verifier-backed local planning table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>BP008 local workflow table</w:t>
      </w:r>
    </w:p>
    <w:p/>
    <w:p>
      <w:pPr>
        <w:pStyle w:val="Heading2"/>
      </w:pPr>
      <w:r>
        <w:rPr>
          <w:rFonts w:ascii="Arial" w:hAnsi="Arial"/>
          <w:color w:val="222222"/>
          <w:sz w:val="24"/>
        </w:rPr>
        <w:t>Supplement F. Architecture Results</w:t>
      </w:r>
    </w:p>
    <w:p/>
    <w:p>
      <w:r>
        <w:rPr>
          <w:rFonts w:ascii="Times New Roman" w:hAnsi="Times New Roman"/>
          <w:color w:val="222222"/>
          <w:sz w:val="22"/>
        </w:rPr>
        <w:t>Include:</w:t>
      </w:r>
    </w:p>
    <w:p/>
    <w:p>
      <w:pPr>
        <w:pStyle w:val="ListBullet"/>
      </w:pPr>
      <w:r>
        <w:rPr>
          <w:rFonts w:ascii="Times New Roman" w:hAnsi="Times New Roman"/>
          <w:color w:val="222222"/>
          <w:sz w:val="22"/>
        </w:rPr>
        <w:t>BP006 retained pair table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>explicit note that the matrix is exploratory rather than exhaustive</w:t>
      </w:r>
    </w:p>
    <w:p/>
    <w:p>
      <w:pPr>
        <w:pStyle w:val="Heading2"/>
      </w:pPr>
      <w:r>
        <w:rPr>
          <w:rFonts w:ascii="Arial" w:hAnsi="Arial"/>
          <w:color w:val="222222"/>
          <w:sz w:val="24"/>
        </w:rPr>
        <w:t>Supplement G. Runtime And Environment Constraints</w:t>
      </w:r>
    </w:p>
    <w:p/>
    <w:p>
      <w:r>
        <w:rPr>
          <w:rFonts w:ascii="Times New Roman" w:hAnsi="Times New Roman"/>
          <w:color w:val="222222"/>
          <w:sz w:val="22"/>
        </w:rPr>
        <w:t>Include:</w:t>
      </w:r>
    </w:p>
    <w:p/>
    <w:p>
      <w:pPr>
        <w:pStyle w:val="ListBullet"/>
      </w:pPr>
      <w:r>
        <w:rPr>
          <w:rFonts w:ascii="Times New Roman" w:hAnsi="Times New Roman"/>
          <w:color w:val="222222"/>
          <w:sz w:val="22"/>
        </w:rPr>
        <w:t>local hardware notes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>storage limits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>runtime-profile constraints</w:t>
      </w:r>
    </w:p>
    <w:p>
      <w:pPr>
        <w:pStyle w:val="ListBullet"/>
      </w:pPr>
      <w:r>
        <w:rPr>
          <w:rFonts w:ascii="Times New Roman" w:hAnsi="Times New Roman"/>
          <w:color w:val="222222"/>
          <w:sz w:val="22"/>
        </w:rPr>
        <w:t>why hosted and local evidence should not be treated as directly symmetric</w:t>
      </w:r>
    </w:p>
    <w:p/>
    <w:p>
      <w:pPr>
        <w:pStyle w:val="Heading1"/>
      </w:pPr>
      <w:r>
        <w:rPr>
          <w:rFonts w:ascii="Arial" w:hAnsi="Arial"/>
          <w:color w:val="222222"/>
          <w:sz w:val="30"/>
        </w:rPr>
        <w:t>Current Rule</w:t>
      </w:r>
    </w:p>
    <w:p/>
    <w:p>
      <w:r>
        <w:rPr>
          <w:rFonts w:ascii="Times New Roman" w:hAnsi="Times New Roman"/>
          <w:color w:val="222222"/>
          <w:sz w:val="22"/>
        </w:rPr>
        <w:t>The supplement should increase transparency without making the main paper read like an internal program memo. The hosted empirical spine should remain in the main paper; the fuller accounting and branch detail should live in the supplement.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rPr>
              <w:rFonts w:ascii="Arial" w:hAnsi="Arial"/>
              <w:color w:val="6E55AA"/>
              <w:sz w:val="16"/>
            </w:rPr>
            <w:t>Quantyra Research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Arial" w:hAnsi="Arial"/>
              <w:color w:val="6E55AA"/>
              <w:sz w:val="16"/>
            </w:rPr>
            <w:t>EMSE Submission Package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34440" cy="35568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tex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35568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rFonts w:ascii="Arial" w:hAnsi="Arial"/>
        <w:b/>
        <w:color w:val="563C99"/>
        <w:sz w:val="16"/>
      </w:rPr>
      <w:t>Quantyra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63C9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63C9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563C9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