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L2 Review Handoff Protocol</w:t>
      </w:r>
    </w:p>
    <w:p>
      <w:pPr>
        <w:pStyle w:val="Heading1"/>
      </w:pPr>
      <w:r>
        <w:t>Purpose</w:t>
      </w:r>
    </w:p>
    <w:p>
      <w:r>
        <w:t xml:space="preserve">Prepare frozen Teaching benchmark artifacts for review by a distinct evaluator at independence level </w:t>
      </w:r>
      <w:r>
        <w:rPr>
          <w:rFonts w:ascii="Consolas" w:hAnsi="Consolas"/>
        </w:rPr>
        <w:t>L2</w:t>
      </w:r>
      <w:r>
        <w:t>.</w:t>
      </w:r>
    </w:p>
    <w:p>
      <w:pPr>
        <w:pStyle w:val="Heading1"/>
      </w:pPr>
      <w:r>
        <w:t>Applicability</w:t>
      </w:r>
    </w:p>
    <w:p>
      <w:pPr>
        <w:pStyle w:val="ListBullet"/>
      </w:pPr>
      <w:r>
        <w:t>hosted provider matrix reviews</w:t>
      </w:r>
    </w:p>
    <w:p>
      <w:pPr>
        <w:pStyle w:val="ListBullet"/>
      </w:pPr>
      <w:r>
        <w:t>low-parameter follow-on reviews</w:t>
      </w:r>
    </w:p>
    <w:p>
      <w:pPr>
        <w:pStyle w:val="ListBullet"/>
      </w:pPr>
      <w:r>
        <w:t>any publication-facing benchmark slice where the artifact author is not the reviewer</w:t>
      </w:r>
    </w:p>
    <w:p>
      <w:pPr>
        <w:pStyle w:val="Heading1"/>
      </w:pPr>
      <w:r>
        <w:t>Required inputs</w:t>
      </w:r>
    </w:p>
    <w:p>
      <w:pPr>
        <w:pStyle w:val="ListBullet"/>
      </w:pPr>
      <w:r>
        <w:t>frozen run folders</w:t>
      </w:r>
    </w:p>
    <w:p>
      <w:pPr>
        <w:pStyle w:val="ListBullet"/>
      </w:pPr>
      <w:r>
        <w:t>original score summaries</w:t>
      </w:r>
    </w:p>
    <w:p>
      <w:pPr>
        <w:pStyle w:val="ListBullet"/>
      </w:pPr>
      <w:r>
        <w:t>original evaluator worksheets</w:t>
      </w:r>
    </w:p>
    <w:p>
      <w:pPr>
        <w:pStyle w:val="ListBullet"/>
      </w:pPr>
      <w:r>
        <w:t>shared scoring rubric</w:t>
      </w:r>
    </w:p>
    <w:p>
      <w:pPr>
        <w:pStyle w:val="ListBullet"/>
      </w:pPr>
      <w:r>
        <w:t>review worksheet template</w:t>
      </w:r>
    </w:p>
    <w:p>
      <w:pPr>
        <w:pStyle w:val="Heading1"/>
      </w:pPr>
      <w:r>
        <w:t>Distinct-evaluator rules</w:t>
      </w:r>
    </w:p>
    <w:p>
      <w:pPr>
        <w:pStyle w:val="ListNumber"/>
      </w:pPr>
      <w:r>
        <w:t>The reviewer must not be the artifact author.</w:t>
      </w:r>
    </w:p>
    <w:p>
      <w:pPr>
        <w:pStyle w:val="ListNumber"/>
      </w:pPr>
      <w:r>
        <w:t>The reviewer must not edit the underlying run artifacts.</w:t>
      </w:r>
    </w:p>
    <w:p>
      <w:pPr>
        <w:pStyle w:val="ListNumber"/>
      </w:pPr>
      <w:r>
        <w:t>The reviewer may create:</w:t>
      </w:r>
    </w:p>
    <w:p>
      <w:pPr>
        <w:pStyle w:val="ListBullet"/>
      </w:pPr>
      <w:r>
        <w:t>review worksheet</w:t>
      </w:r>
    </w:p>
    <w:p>
      <w:pPr>
        <w:pStyle w:val="ListBullet"/>
      </w:pPr>
      <w:r>
        <w:t>review memo</w:t>
      </w:r>
    </w:p>
    <w:p>
      <w:pPr>
        <w:pStyle w:val="ListBullet"/>
      </w:pPr>
      <w:r>
        <w:t>clarification notes outside the frozen run folder</w:t>
      </w:r>
    </w:p>
    <w:p>
      <w:pPr>
        <w:pStyle w:val="ListNumber"/>
      </w:pPr>
      <w:r>
        <w:t>Any uncertainty should be logged as uncertainty, not silently corrected.</w:t>
      </w:r>
    </w:p>
    <w:p>
      <w:pPr>
        <w:pStyle w:val="Heading1"/>
      </w:pPr>
      <w:r>
        <w:t>Handoff workflow</w:t>
      </w:r>
    </w:p>
    <w:p>
      <w:pPr>
        <w:pStyle w:val="ListNumber"/>
      </w:pPr>
      <w:r>
        <w:t>Freeze the candidate run folders.</w:t>
      </w:r>
    </w:p>
    <w:p>
      <w:pPr>
        <w:pStyle w:val="ListNumber"/>
      </w:pPr>
      <w:r>
        <w:t>Provide the reviewer with:</w:t>
      </w:r>
    </w:p>
    <w:p>
      <w:pPr>
        <w:pStyle w:val="ListBullet"/>
      </w:pPr>
      <w:r>
        <w:t>run-folder paths</w:t>
      </w:r>
    </w:p>
    <w:p>
      <w:pPr>
        <w:pStyle w:val="ListBullet"/>
      </w:pPr>
      <w:r>
        <w:t>scoring rubric</w:t>
      </w:r>
    </w:p>
    <w:p>
      <w:pPr>
        <w:pStyle w:val="ListBullet"/>
      </w:pPr>
      <w:r>
        <w:t>review worksheet template</w:t>
      </w:r>
    </w:p>
    <w:p>
      <w:pPr>
        <w:pStyle w:val="ListBullet"/>
      </w:pPr>
      <w:r>
        <w:t>independence-level instructions</w:t>
      </w:r>
    </w:p>
    <w:p>
      <w:pPr>
        <w:pStyle w:val="ListNumber"/>
      </w:pPr>
      <w:r>
        <w:t>Require the reviewer to score both conditions from retained artifacts only.</w:t>
      </w:r>
    </w:p>
    <w:p>
      <w:pPr>
        <w:pStyle w:val="ListNumber"/>
      </w:pPr>
      <w:r>
        <w:t>Require explicit agreement or disagreement with the original stronger condition and score magnitude.</w:t>
      </w:r>
    </w:p>
    <w:p>
      <w:pPr>
        <w:pStyle w:val="ListNumber"/>
      </w:pPr>
      <w:r>
        <w:t xml:space="preserve">Store the completed review memo under </w:t>
      </w:r>
      <w:r>
        <w:rPr>
          <w:rFonts w:ascii="Consolas" w:hAnsi="Consolas"/>
        </w:rPr>
        <w:t>docs/benchmarks/reviews/</w:t>
      </w:r>
      <w:r>
        <w:t>.</w:t>
      </w:r>
    </w:p>
    <w:p>
      <w:pPr>
        <w:pStyle w:val="Heading1"/>
      </w:pPr>
      <w:r>
        <w:t>Optional blinding step</w:t>
      </w:r>
    </w:p>
    <w:p>
      <w:pPr>
        <w:pStyle w:val="ListBullet"/>
      </w:pPr>
      <w:r>
        <w:t xml:space="preserve">If feasible, create condition labels such as </w:t>
      </w:r>
      <w:r>
        <w:rPr>
          <w:rFonts w:ascii="Consolas" w:hAnsi="Consolas"/>
        </w:rPr>
        <w:t>Condition X</w:t>
      </w:r>
      <w:r>
        <w:t xml:space="preserve"> and </w:t>
      </w:r>
      <w:r>
        <w:rPr>
          <w:rFonts w:ascii="Consolas" w:hAnsi="Consolas"/>
        </w:rPr>
        <w:t>Condition Y</w:t>
      </w:r>
      <w:r>
        <w:t xml:space="preserve"> in a copied review packet.</w:t>
      </w:r>
    </w:p>
    <w:p>
      <w:pPr>
        <w:pStyle w:val="ListBullet"/>
      </w:pPr>
      <w:r>
        <w:t>Store the label map separately from the reviewer packet.</w:t>
      </w:r>
    </w:p>
    <w:p>
      <w:pPr>
        <w:pStyle w:val="ListBullet"/>
      </w:pPr>
      <w:r>
        <w:t xml:space="preserve">Only call the result </w:t>
      </w:r>
      <w:r>
        <w:rPr>
          <w:rFonts w:ascii="Consolas" w:hAnsi="Consolas"/>
        </w:rPr>
        <w:t>L3</w:t>
      </w:r>
      <w:r>
        <w:t xml:space="preserve"> if the reviewer was distinct and condition labels were genuinely blinded.</w:t>
      </w:r>
    </w:p>
    <w:p>
      <w:pPr>
        <w:pStyle w:val="Heading1"/>
      </w:pPr>
      <w:r>
        <w:t>Minimum retained outputs</w:t>
      </w:r>
    </w:p>
    <w:p>
      <w:pPr>
        <w:pStyle w:val="ListBullet"/>
      </w:pPr>
      <w:r>
        <w:t>completed review worksheet</w:t>
      </w:r>
    </w:p>
    <w:p>
      <w:pPr>
        <w:pStyle w:val="ListBullet"/>
      </w:pPr>
      <w:r>
        <w:t>review memo</w:t>
      </w:r>
    </w:p>
    <w:p>
      <w:pPr>
        <w:pStyle w:val="ListBullet"/>
      </w:pPr>
      <w:r>
        <w:t>reviewer identity</w:t>
      </w:r>
    </w:p>
    <w:p>
      <w:pPr>
        <w:pStyle w:val="ListBullet"/>
      </w:pPr>
      <w:r>
        <w:t>independence level</w:t>
      </w:r>
    </w:p>
    <w:p>
      <w:pPr>
        <w:pStyle w:val="ListBullet"/>
      </w:pPr>
      <w:r>
        <w:t>any clarification questions raised during review</w:t>
      </w:r>
    </w:p>
    <w:p>
      <w:pPr>
        <w:pStyle w:val="Heading1"/>
      </w:pPr>
      <w:r>
        <w:t>Reporting rule</w:t>
      </w:r>
    </w:p>
    <w:p>
      <w:pPr>
        <w:pStyle w:val="ListBullet"/>
      </w:pPr>
      <w:r>
        <w:t xml:space="preserve">Use </w:t>
      </w:r>
      <w:r>
        <w:rPr>
          <w:rFonts w:ascii="Consolas" w:hAnsi="Consolas"/>
        </w:rPr>
        <w:t>L2 distinct internal evaluator</w:t>
      </w:r>
      <w:r>
        <w:t xml:space="preserve"> only when the reviewer is actually different from the artifact author.</w:t>
      </w:r>
    </w:p>
    <w:p>
      <w:pPr>
        <w:pStyle w:val="ListBullet"/>
      </w:pPr>
      <w:r>
        <w:t>Do not describe a packet as blinded unless the reviewer did not know which condition was baseline or taught.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