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Manuscript Supplement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>Provide the submission-facing supplement that supports the main manuscript without forcing the main paper to carry internal run-accounting detail.</w:t>
      </w:r>
    </w:p>
    <w:p>
      <w:pPr>
        <w:pStyle w:val="Heading1"/>
      </w:pPr>
      <w:r>
        <w:t>Supplement A. Experimental Conditions</w:t>
      </w:r>
    </w:p>
    <w:p>
      <w:pPr>
        <w:pStyle w:val="Heading2"/>
      </w:pPr>
      <w:r>
        <w:t>Core condition definitions</w:t>
      </w:r>
    </w:p>
    <w:p>
      <w:pPr>
        <w:pStyle w:val="ListBullet"/>
      </w:pPr>
      <w:r>
        <w:rPr>
          <w:rFonts w:ascii="Consolas" w:hAnsi="Consolas"/>
        </w:rPr>
        <w:t>baseline</w:t>
      </w:r>
      <w:r>
        <w:t>: the weaker comparison condition that does not receive the reusable protocol artifact being tested</w:t>
      </w:r>
    </w:p>
    <w:p>
      <w:pPr>
        <w:pStyle w:val="ListBullet"/>
      </w:pPr>
      <w:r>
        <w:rPr>
          <w:rFonts w:ascii="Consolas" w:hAnsi="Consolas"/>
        </w:rPr>
        <w:t>taught</w:t>
      </w:r>
      <w:r>
        <w:t>: the comparison condition that receives the reusable protocol artifact directly</w:t>
      </w:r>
    </w:p>
    <w:p>
      <w:pPr>
        <w:pStyle w:val="ListBullet"/>
      </w:pPr>
      <w:r>
        <w:rPr>
          <w:rFonts w:ascii="Consolas" w:hAnsi="Consolas"/>
        </w:rPr>
        <w:t>correction</w:t>
      </w:r>
      <w:r>
        <w:t>: a two-model condition in which the reviewer critiques and the original executor remains final author</w:t>
      </w:r>
    </w:p>
    <w:p>
      <w:pPr>
        <w:pStyle w:val="ListBullet"/>
      </w:pPr>
      <w:r>
        <w:rPr>
          <w:rFonts w:ascii="Consolas" w:hAnsi="Consolas"/>
        </w:rPr>
        <w:t>takeover</w:t>
      </w:r>
      <w:r>
        <w:t>: a two-model condition in which the reviewer or second model becomes the final author</w:t>
      </w:r>
    </w:p>
    <w:p>
      <w:pPr>
        <w:pStyle w:val="ListBullet"/>
      </w:pPr>
      <w:r>
        <w:rPr>
          <w:rFonts w:ascii="Consolas" w:hAnsi="Consolas"/>
        </w:rPr>
        <w:t>quality-bar loop</w:t>
      </w:r>
      <w:r>
        <w:t>: a bounded revise-and-check loop with explicit pass and stop conditions</w:t>
      </w:r>
    </w:p>
    <w:p>
      <w:pPr>
        <w:pStyle w:val="Heading2"/>
      </w:pPr>
      <w:r>
        <w:t>Status labels used in workflow branches</w:t>
      </w:r>
    </w:p>
    <w:p>
      <w:pPr>
        <w:pStyle w:val="ListBullet"/>
      </w:pPr>
      <w:r>
        <w:rPr>
          <w:rFonts w:ascii="Consolas" w:hAnsi="Consolas"/>
        </w:rPr>
        <w:t>pass-core</w:t>
      </w:r>
      <w:r>
        <w:t>: the minimum success bar for a workflow artifact chain</w:t>
      </w:r>
    </w:p>
    <w:p>
      <w:pPr>
        <w:pStyle w:val="ListBullet"/>
      </w:pPr>
      <w:r>
        <w:rPr>
          <w:rFonts w:ascii="Consolas" w:hAnsi="Consolas"/>
        </w:rPr>
        <w:t>pass-stretch</w:t>
      </w:r>
      <w:r>
        <w:t>: a stronger-than-required success outcome</w:t>
      </w:r>
    </w:p>
    <w:p>
      <w:pPr>
        <w:pStyle w:val="ListBullet"/>
      </w:pPr>
      <w:r>
        <w:rPr>
          <w:rFonts w:ascii="Consolas" w:hAnsi="Consolas"/>
        </w:rPr>
        <w:t>fail-cap</w:t>
      </w:r>
      <w:r>
        <w:t>: the loop cap was reached without clearing the required bar</w:t>
      </w:r>
    </w:p>
    <w:p>
      <w:pPr>
        <w:pStyle w:val="ListBullet"/>
      </w:pPr>
      <w:r>
        <w:rPr>
          <w:rFonts w:ascii="Consolas" w:hAnsi="Consolas"/>
        </w:rPr>
        <w:t>blocked</w:t>
      </w:r>
      <w:r>
        <w:t>: the run could not proceed cleanly because of a method, runtime, or account-side blocker</w:t>
      </w:r>
    </w:p>
    <w:p>
      <w:pPr>
        <w:pStyle w:val="Heading2"/>
      </w:pPr>
      <w:r>
        <w:t>Construct note</w:t>
      </w:r>
    </w:p>
    <w:p>
      <w:r>
        <w:t xml:space="preserve">In this manuscript, </w:t>
      </w:r>
      <w:r>
        <w:rPr>
          <w:rFonts w:ascii="Consolas" w:hAnsi="Consolas"/>
        </w:rPr>
        <w:t>teaching</w:t>
      </w:r>
      <w:r>
        <w:t xml:space="preserve"> does not mean durable internal learning. It means that a lesson has been externalized into a reusable protocol artifact and then injected into the taught condition as a structured intervention.</w:t>
      </w:r>
    </w:p>
    <w:p>
      <w:pPr>
        <w:pStyle w:val="Heading1"/>
      </w:pPr>
      <w:r>
        <w:t>Supplement B. Branch-Level Run Accounting</w:t>
      </w:r>
    </w:p>
    <w:p>
      <w:pPr>
        <w:pStyle w:val="Heading2"/>
      </w:pPr>
      <w:r>
        <w:t>Hosted manuscript spine</w:t>
      </w:r>
    </w:p>
    <w:p>
      <w:r>
        <w:t xml:space="preserve">The hosted manuscript spine is built from OpenAI </w:t>
      </w:r>
      <w:r>
        <w:rPr>
          <w:rFonts w:ascii="Consolas" w:hAnsi="Consolas"/>
        </w:rPr>
        <w:t>gpt-4.1</w:t>
      </w:r>
      <w:r>
        <w:t xml:space="preserve">, Google </w:t>
      </w:r>
      <w:r>
        <w:rPr>
          <w:rFonts w:ascii="Consolas" w:hAnsi="Consolas"/>
        </w:rPr>
        <w:t>gemini-2.5-flash</w:t>
      </w:r>
      <w:r>
        <w:t xml:space="preserve">, and Anthropic </w:t>
      </w:r>
      <w:r>
        <w:rPr>
          <w:rFonts w:ascii="Consolas" w:hAnsi="Consolas"/>
        </w:rPr>
        <w:t>claude-sonnet-4-6</w:t>
      </w:r>
      <w:r>
        <w:t xml:space="preserve"> across:</w:t>
      </w:r>
    </w:p>
    <w:p>
      <w:pPr>
        <w:pStyle w:val="ListBullet"/>
      </w:pPr>
      <w:r>
        <w:rPr>
          <w:rFonts w:ascii="Consolas" w:hAnsi="Consolas"/>
        </w:rPr>
        <w:t>BP001</w:t>
      </w:r>
      <w:r>
        <w:t xml:space="preserve"> planning</w:t>
      </w:r>
    </w:p>
    <w:p>
      <w:pPr>
        <w:pStyle w:val="ListBullet"/>
      </w:pPr>
      <w:r>
        <w:rPr>
          <w:rFonts w:ascii="Consolas" w:hAnsi="Consolas"/>
        </w:rPr>
        <w:t>BP002</w:t>
      </w:r>
      <w:r>
        <w:t xml:space="preserve"> structured workflow</w:t>
      </w:r>
    </w:p>
    <w:p>
      <w:pPr>
        <w:pStyle w:val="ListBullet"/>
      </w:pPr>
      <w:r>
        <w:rPr>
          <w:rFonts w:ascii="Consolas" w:hAnsi="Consolas"/>
        </w:rPr>
        <w:t>BP003</w:t>
      </w:r>
      <w:r>
        <w:t xml:space="preserve"> harder workflow and transfer</w:t>
      </w:r>
    </w:p>
    <w:p>
      <w:pPr>
        <w:pStyle w:val="ListBullet"/>
      </w:pPr>
      <w:r>
        <w:rPr>
          <w:rFonts w:ascii="Consolas" w:hAnsi="Consolas"/>
        </w:rPr>
        <w:t>BP004</w:t>
      </w:r>
      <w:r>
        <w:t xml:space="preserve"> higher-realism proxy-materialized workflow</w:t>
      </w:r>
    </w:p>
    <w:p>
      <w:r>
        <w:t>The main hosted synthesis uses the current retained comparison sets recorded in:</w:t>
      </w:r>
    </w:p>
    <w:p>
      <w:pPr>
        <w:pStyle w:val="ListBullet"/>
      </w:pPr>
      <w:r>
        <w:rPr>
          <w:rFonts w:ascii="Consolas" w:hAnsi="Consolas"/>
        </w:rPr>
        <w:t>docs/benchmarks/cross-provider-synthesis-2026-03-13.md</w:t>
      </w:r>
    </w:p>
    <w:p>
      <w:pPr>
        <w:pStyle w:val="Heading2"/>
      </w:pPr>
      <w:r>
        <w:t>Open-weight `BP001`</w:t>
      </w:r>
    </w:p>
    <w:p>
      <w:r>
        <w:t>Current branch-level universe:</w:t>
      </w:r>
    </w:p>
    <w:p>
      <w:pPr>
        <w:pStyle w:val="ListBullet"/>
      </w:pPr>
      <w:r>
        <w:t>five local models</w:t>
      </w:r>
    </w:p>
    <w:p>
      <w:pPr>
        <w:pStyle w:val="ListBullet"/>
      </w:pPr>
      <w:r>
        <w:t>one baseline and one taught condition per model</w:t>
      </w:r>
    </w:p>
    <w:p>
      <w:pPr>
        <w:pStyle w:val="ListBullet"/>
      </w:pPr>
      <w:r>
        <w:t>ten scored condition outputs total</w:t>
      </w:r>
    </w:p>
    <w:p>
      <w:r>
        <w:t>Models in the frozen comparison surface:</w:t>
      </w:r>
    </w:p>
    <w:p>
      <w:pPr>
        <w:pStyle w:val="ListBullet"/>
      </w:pPr>
      <w:r>
        <w:rPr>
          <w:rFonts w:ascii="Consolas" w:hAnsi="Consolas"/>
        </w:rPr>
        <w:t>qwen2.5:3b</w:t>
      </w:r>
    </w:p>
    <w:p>
      <w:pPr>
        <w:pStyle w:val="ListBullet"/>
      </w:pPr>
      <w:r>
        <w:rPr>
          <w:rFonts w:ascii="Consolas" w:hAnsi="Consolas"/>
        </w:rPr>
        <w:t>qwen2.5-coder:3b</w:t>
      </w:r>
    </w:p>
    <w:p>
      <w:pPr>
        <w:pStyle w:val="ListBullet"/>
      </w:pPr>
      <w:r>
        <w:rPr>
          <w:rFonts w:ascii="Consolas" w:hAnsi="Consolas"/>
        </w:rPr>
        <w:t>llama3.1:8b</w:t>
      </w:r>
    </w:p>
    <w:p>
      <w:pPr>
        <w:pStyle w:val="ListBullet"/>
      </w:pPr>
      <w:r>
        <w:rPr>
          <w:rFonts w:ascii="Consolas" w:hAnsi="Consolas"/>
        </w:rPr>
        <w:t>llama3.2:3b</w:t>
      </w:r>
    </w:p>
    <w:p>
      <w:pPr>
        <w:pStyle w:val="ListBullet"/>
      </w:pPr>
      <w:r>
        <w:rPr>
          <w:rFonts w:ascii="Consolas" w:hAnsi="Consolas"/>
        </w:rPr>
        <w:t>deepseek-coder-v2:16b-lite-instruct-q3_K_S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docs/benchmarks/open-weight-run-sheet-v1.md</w:t>
      </w:r>
    </w:p>
    <w:p>
      <w:pPr>
        <w:pStyle w:val="Heading2"/>
      </w:pPr>
      <w:r>
        <w:t>`BP006` mixture-of-experts branch</w:t>
      </w:r>
    </w:p>
    <w:p>
      <w:r>
        <w:t>Current branch-level universe:</w:t>
      </w:r>
    </w:p>
    <w:p>
      <w:pPr>
        <w:pStyle w:val="ListBullet"/>
      </w:pPr>
      <w:r>
        <w:t>five eligible models</w:t>
      </w:r>
    </w:p>
    <w:p>
      <w:pPr>
        <w:pStyle w:val="ListBullet"/>
      </w:pPr>
      <w:r>
        <w:t>twenty ordered executor-reviewer pairs excluding self-review</w:t>
      </w:r>
    </w:p>
    <w:p>
      <w:pPr>
        <w:pStyle w:val="ListBullet"/>
      </w:pPr>
      <w:r>
        <w:t>six retained and scored pairs</w:t>
      </w:r>
    </w:p>
    <w:p>
      <w:pPr>
        <w:pStyle w:val="ListBullet"/>
      </w:pPr>
      <w:r>
        <w:t>fourteen planned pairs at the current snapshot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docs/benchmarks/bp006-exhaustive-run-sheet-v1.md</w:t>
      </w:r>
    </w:p>
    <w:p>
      <w:r>
        <w:t>Interpretation rule:</w:t>
      </w:r>
    </w:p>
    <w:p>
      <w:pPr>
        <w:pStyle w:val="ListBullet"/>
      </w:pPr>
      <w:r>
        <w:t xml:space="preserve">report </w:t>
      </w:r>
      <w:r>
        <w:rPr>
          <w:rFonts w:ascii="Consolas" w:hAnsi="Consolas"/>
        </w:rPr>
        <w:t>BP006</w:t>
      </w:r>
      <w:r>
        <w:t xml:space="preserve"> as structured exploratory architecture evidence, not as an exhaustive completed matrix</w:t>
      </w:r>
    </w:p>
    <w:p>
      <w:pPr>
        <w:pStyle w:val="Heading2"/>
      </w:pPr>
      <w:r>
        <w:t>`BP007B` verifier-backed local planning branch</w:t>
      </w:r>
    </w:p>
    <w:p>
      <w:r>
        <w:t>Current branch-level universe:</w:t>
      </w:r>
    </w:p>
    <w:p>
      <w:pPr>
        <w:pStyle w:val="ListBullet"/>
      </w:pPr>
      <w:r>
        <w:t xml:space="preserve">indexed slots </w:t>
      </w:r>
      <w:r>
        <w:rPr>
          <w:rFonts w:ascii="Consolas" w:hAnsi="Consolas"/>
        </w:rPr>
        <w:t>T01</w:t>
      </w:r>
      <w:r>
        <w:t xml:space="preserve"> through </w:t>
      </w:r>
      <w:r>
        <w:rPr>
          <w:rFonts w:ascii="Consolas" w:hAnsi="Consolas"/>
        </w:rPr>
        <w:t>T09</w:t>
      </w:r>
    </w:p>
    <w:p>
      <w:pPr>
        <w:pStyle w:val="ListBullet"/>
      </w:pPr>
      <w:r>
        <w:t>nine total branch slots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docs/benchmarks/bp007b-run-sheet-v1.md</w:t>
      </w:r>
    </w:p>
    <w:p>
      <w:r>
        <w:t>Interpretation rule:</w:t>
      </w:r>
    </w:p>
    <w:p>
      <w:pPr>
        <w:pStyle w:val="ListBullet"/>
      </w:pPr>
      <w:r>
        <w:t>methodologically useful diagnostic branch, but not the main local publication surface</w:t>
      </w:r>
    </w:p>
    <w:p>
      <w:pPr>
        <w:pStyle w:val="Heading2"/>
      </w:pPr>
      <w:r>
        <w:t>`BP008` local workflow branch</w:t>
      </w:r>
    </w:p>
    <w:p>
      <w:r>
        <w:t>Current branch-level universe:</w:t>
      </w:r>
    </w:p>
    <w:p>
      <w:pPr>
        <w:pStyle w:val="ListBullet"/>
      </w:pPr>
      <w:r>
        <w:rPr>
          <w:rFonts w:ascii="Consolas" w:hAnsi="Consolas"/>
        </w:rPr>
        <w:t>W01</w:t>
      </w:r>
    </w:p>
    <w:p>
      <w:pPr>
        <w:pStyle w:val="ListBullet"/>
      </w:pPr>
      <w:r>
        <w:rPr>
          <w:rFonts w:ascii="Consolas" w:hAnsi="Consolas"/>
        </w:rPr>
        <w:t>W02</w:t>
      </w:r>
    </w:p>
    <w:p>
      <w:pPr>
        <w:pStyle w:val="ListBullet"/>
      </w:pPr>
      <w:r>
        <w:rPr>
          <w:rFonts w:ascii="Consolas" w:hAnsi="Consolas"/>
        </w:rPr>
        <w:t>W03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docs/benchmarks/bp008-run-sheet-v1.md</w:t>
      </w:r>
    </w:p>
    <w:p>
      <w:r>
        <w:t>Interpretation rule:</w:t>
      </w:r>
    </w:p>
    <w:p>
      <w:pPr>
        <w:pStyle w:val="ListBullet"/>
      </w:pPr>
      <w:r>
        <w:t>strongest current local resilience surface</w:t>
      </w:r>
    </w:p>
    <w:p>
      <w:pPr>
        <w:pStyle w:val="Heading1"/>
      </w:pPr>
      <w:r>
        <w:t>Supplement C. Retained And Superseded Logic</w:t>
      </w:r>
    </w:p>
    <w:p>
      <w:pPr>
        <w:pStyle w:val="Heading2"/>
      </w:pPr>
      <w:r>
        <w:t>Working definition</w:t>
      </w:r>
    </w:p>
    <w:p>
      <w:r>
        <w:rPr>
          <w:rFonts w:ascii="Consolas" w:hAnsi="Consolas"/>
        </w:rPr>
        <w:t>Retained</w:t>
      </w:r>
      <w:r>
        <w:t xml:space="preserve"> means:</w:t>
      </w:r>
    </w:p>
    <w:p>
      <w:pPr>
        <w:pStyle w:val="ListBullet"/>
      </w:pPr>
      <w:r>
        <w:t>preserved as the current evidence-bearing artifact chain for a run, pair, or branch slot</w:t>
      </w:r>
    </w:p>
    <w:p>
      <w:pPr>
        <w:pStyle w:val="ListBullet"/>
      </w:pPr>
      <w:r>
        <w:t>not deleted or replaced in the audit trail without documentation</w:t>
      </w:r>
    </w:p>
    <w:p>
      <w:pPr>
        <w:pStyle w:val="ListBullet"/>
      </w:pPr>
      <w:r>
        <w:t>available for synthesis, review, or manuscript reference</w:t>
      </w:r>
    </w:p>
    <w:p>
      <w:r>
        <w:rPr>
          <w:rFonts w:ascii="Consolas" w:hAnsi="Consolas"/>
        </w:rPr>
        <w:t>Retained</w:t>
      </w:r>
      <w:r>
        <w:t xml:space="preserve"> does not mean:</w:t>
      </w:r>
    </w:p>
    <w:p>
      <w:pPr>
        <w:pStyle w:val="ListBullet"/>
      </w:pPr>
      <w:r>
        <w:t>the only run ever attempted</w:t>
      </w:r>
    </w:p>
    <w:p>
      <w:pPr>
        <w:pStyle w:val="ListBullet"/>
      </w:pPr>
      <w:r>
        <w:t>the visually strongest result chosen after broad hidden exploration</w:t>
      </w:r>
    </w:p>
    <w:p>
      <w:pPr>
        <w:pStyle w:val="ListBullet"/>
      </w:pPr>
      <w:r>
        <w:t>the full run universe for a branch</w:t>
      </w:r>
    </w:p>
    <w:p>
      <w:pPr>
        <w:pStyle w:val="Heading2"/>
      </w:pPr>
      <w:r>
        <w:t>Main retention cases</w:t>
      </w:r>
    </w:p>
    <w:p>
      <w:pPr>
        <w:pStyle w:val="Heading3"/>
      </w:pPr>
      <w:r>
        <w:t>First stable completed run</w:t>
      </w:r>
    </w:p>
    <w:p>
      <w:r>
        <w:t>Some branches retain the first cleanly completed run as the current evidence-bearing artifact chain.</w:t>
      </w:r>
    </w:p>
    <w:p>
      <w:pPr>
        <w:pStyle w:val="Heading3"/>
      </w:pPr>
      <w:r>
        <w:t>Clarified rerun replacing an ambiguous earlier run</w:t>
      </w:r>
    </w:p>
    <w:p>
      <w:r>
        <w:t>Some branches required a rerun because an earlier run was not methodologically clean enough for publication use, for example due to:</w:t>
      </w:r>
    </w:p>
    <w:p>
      <w:pPr>
        <w:pStyle w:val="ListBullet"/>
      </w:pPr>
      <w:r>
        <w:t>packet ambiguity</w:t>
      </w:r>
    </w:p>
    <w:p>
      <w:pPr>
        <w:pStyle w:val="ListBullet"/>
      </w:pPr>
      <w:r>
        <w:t>clarified placeholder policy</w:t>
      </w:r>
    </w:p>
    <w:p>
      <w:pPr>
        <w:pStyle w:val="ListBullet"/>
      </w:pPr>
      <w:r>
        <w:t>tightened reviewer logic</w:t>
      </w:r>
    </w:p>
    <w:p>
      <w:pPr>
        <w:pStyle w:val="ListBullet"/>
      </w:pPr>
      <w:r>
        <w:t>runtime invalidity</w:t>
      </w:r>
    </w:p>
    <w:p>
      <w:r>
        <w:t>In those cases, the earlier run remains in the audit trail and the clarified rerun becomes the current evidence-bearing point.</w:t>
      </w:r>
    </w:p>
    <w:p>
      <w:pPr>
        <w:pStyle w:val="Heading3"/>
      </w:pPr>
      <w:r>
        <w:t>Exploratory subset</w:t>
      </w:r>
    </w:p>
    <w:p>
      <w:r>
        <w:t xml:space="preserve">Some branches, especially </w:t>
      </w:r>
      <w:r>
        <w:rPr>
          <w:rFonts w:ascii="Consolas" w:hAnsi="Consolas"/>
        </w:rPr>
        <w:t>BP006</w:t>
      </w:r>
      <w:r>
        <w:t>, use a retained subset for synthesis even though the broader branch is incomplete.</w:t>
      </w:r>
    </w:p>
    <w:p>
      <w:r>
        <w:t>Reporting rule:</w:t>
      </w:r>
    </w:p>
    <w:p>
      <w:pPr>
        <w:pStyle w:val="ListBullet"/>
      </w:pPr>
      <w:r>
        <w:t>say explicitly that the branch is exploratory or partially complete</w:t>
      </w:r>
    </w:p>
    <w:p>
      <w:pPr>
        <w:pStyle w:val="ListBullet"/>
      </w:pPr>
      <w:r>
        <w:t xml:space="preserve">do not let </w:t>
      </w:r>
      <w:r>
        <w:rPr>
          <w:rFonts w:ascii="Consolas" w:hAnsi="Consolas"/>
        </w:rPr>
        <w:t>retained</w:t>
      </w:r>
      <w:r>
        <w:t xml:space="preserve"> stand in for exhaustive accounting</w:t>
      </w:r>
    </w:p>
    <w:p>
      <w:pPr>
        <w:pStyle w:val="Heading1"/>
      </w:pPr>
      <w:r>
        <w:t>Supplement D. Scoring And Review Procedures</w:t>
      </w:r>
    </w:p>
    <w:p>
      <w:pPr>
        <w:pStyle w:val="Heading2"/>
      </w:pPr>
      <w:r>
        <w:t>Review layers</w:t>
      </w:r>
    </w:p>
    <w:p>
      <w:pPr>
        <w:pStyle w:val="ListBullet"/>
      </w:pPr>
      <w:r>
        <w:rPr>
          <w:rFonts w:ascii="Consolas" w:hAnsi="Consolas"/>
        </w:rPr>
        <w:t>L0</w:t>
      </w:r>
      <w:r>
        <w:t>: initial operator scoring against the benchmark rubric</w:t>
      </w:r>
    </w:p>
    <w:p>
      <w:pPr>
        <w:pStyle w:val="ListBullet"/>
      </w:pPr>
      <w:r>
        <w:rPr>
          <w:rFonts w:ascii="Consolas" w:hAnsi="Consolas"/>
        </w:rPr>
        <w:t>L1</w:t>
      </w:r>
      <w:r>
        <w:t>: operator-side second-pass review or adjudication where applicable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: model-based secondary review, currently Anthropic on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slice</w:t>
      </w:r>
    </w:p>
    <w:p>
      <w:pPr>
        <w:pStyle w:val="ListBullet"/>
      </w:pPr>
      <w:r>
        <w:rPr>
          <w:rFonts w:ascii="Consolas" w:hAnsi="Consolas"/>
        </w:rPr>
        <w:t>L2</w:t>
      </w:r>
      <w:r>
        <w:t xml:space="preserve">: distinct human evaluator review, currently completed for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six-run slice</w:t>
      </w:r>
    </w:p>
    <w:p>
      <w:pPr>
        <w:pStyle w:val="Heading2"/>
      </w:pPr>
      <w:r>
        <w:t>Current review posture</w:t>
      </w:r>
    </w:p>
    <w:p>
      <w:pPr>
        <w:pStyle w:val="ListBullet"/>
      </w:pPr>
      <w:r>
        <w:t xml:space="preserve">most of the full portfolio still relies on </w:t>
      </w:r>
      <w:r>
        <w:rPr>
          <w:rFonts w:ascii="Consolas" w:hAnsi="Consolas"/>
        </w:rPr>
        <w:t>L0/L1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 is used as a secondary consistency check, not as independence proof</w:t>
      </w:r>
    </w:p>
    <w:p>
      <w:pPr>
        <w:pStyle w:val="ListBullet"/>
      </w:pPr>
      <w:r>
        <w:t xml:space="preserve">distinct human </w:t>
      </w:r>
      <w:r>
        <w:rPr>
          <w:rFonts w:ascii="Consolas" w:hAnsi="Consolas"/>
        </w:rPr>
        <w:t>L2</w:t>
      </w:r>
      <w:r>
        <w:t xml:space="preserve"> now exists for the hosted </w:t>
      </w:r>
      <w:r>
        <w:rPr>
          <w:rFonts w:ascii="Consolas" w:hAnsi="Consolas"/>
        </w:rPr>
        <w:t>BP001/BP002</w:t>
      </w:r>
      <w:r>
        <w:t xml:space="preserve"> slice and agrees directionally with the stronger taught condition in all six reviewed runs</w:t>
      </w:r>
    </w:p>
    <w:p>
      <w:pPr>
        <w:pStyle w:val="Heading2"/>
      </w:pPr>
      <w:r>
        <w:t>Human `L2` handling rule</w:t>
      </w:r>
    </w:p>
    <w:p>
      <w:r>
        <w:t>The Fernanda De La O memo is the controlling human-review artifact. The manuscript uses the memo for directional support and uses the repository-local score-table transcription only for column totals. The paper does not rely on unlabeled rubric rows for finer-grained numerical interpretation.</w:t>
      </w:r>
    </w:p>
    <w:p>
      <w:pPr>
        <w:pStyle w:val="Heading1"/>
      </w:pPr>
      <w:r>
        <w:t>Supplement E. Results Tables</w:t>
      </w:r>
    </w:p>
    <w:p>
      <w:pPr>
        <w:pStyle w:val="Heading2"/>
      </w:pPr>
      <w:r>
        <w:t>Hosted cross-provider within-model uplift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Provider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baseline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baseline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baseline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taught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OpenAI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5/10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Google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7/10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Anthropic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</w:tbl>
    <w:p>
      <w:pPr>
        <w:pStyle w:val="Heading2"/>
      </w:pPr>
      <w:r>
        <w:t>Local evidence ladder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Surface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Strongest retained result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Open-weight </w:t>
            </w:r>
            <w:r>
              <w:rPr>
                <w:rFonts w:ascii="Consolas" w:hAnsi="Consolas"/>
                <w:sz w:val="18"/>
              </w:rPr>
              <w:t>BP001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taught ceiling </w:t>
            </w:r>
            <w:r>
              <w:rPr>
                <w:rFonts w:ascii="Consolas" w:hAnsi="Consolas"/>
                <w:sz w:val="18"/>
              </w:rPr>
              <w:t>6/10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structural planning uplift exists, but absolute planning fidelity remains limited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BP007B</w:t>
            </w:r>
            <w:r>
              <w:rPr>
                <w:rFonts w:ascii="Times New Roman" w:hAnsi="Times New Roman"/>
                <w:sz w:val="18"/>
              </w:rPr>
              <w:t xml:space="preserve"> verifier-backed planning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T07</w:t>
            </w:r>
            <w:r>
              <w:rPr>
                <w:rFonts w:ascii="Times New Roman" w:hAnsi="Times New Roman"/>
                <w:sz w:val="18"/>
              </w:rPr>
              <w:t xml:space="preserve"> reaches </w:t>
            </w:r>
            <w:r>
              <w:rPr>
                <w:rFonts w:ascii="Consolas" w:hAnsi="Consolas"/>
                <w:sz w:val="18"/>
              </w:rPr>
              <w:t>pass-core</w:t>
            </w:r>
            <w:r>
              <w:rPr>
                <w:rFonts w:ascii="Times New Roman" w:hAnsi="Times New Roman"/>
                <w:sz w:val="18"/>
              </w:rPr>
              <w:t xml:space="preserve"> without score uplift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stronger verification removes false positives but does not rescue weak local planning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BP008</w:t>
            </w:r>
            <w:r>
              <w:rPr>
                <w:rFonts w:ascii="Times New Roman" w:hAnsi="Times New Roman"/>
                <w:sz w:val="18"/>
              </w:rPr>
              <w:t xml:space="preserve"> workflow branch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W01</w:t>
            </w:r>
            <w:r>
              <w:rPr>
                <w:rFonts w:ascii="Times New Roman" w:hAnsi="Times New Roman"/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W03</w:t>
            </w:r>
            <w:r>
              <w:rPr>
                <w:rFonts w:ascii="Times New Roman" w:hAnsi="Times New Roman"/>
                <w:sz w:val="18"/>
              </w:rPr>
              <w:t xml:space="preserve"> reach </w:t>
            </w:r>
            <w:r>
              <w:rPr>
                <w:rFonts w:ascii="Consolas" w:hAnsi="Consolas"/>
                <w:sz w:val="18"/>
              </w:rPr>
              <w:t>pass-core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concrete workflow tasks preserve the clearest local resilience effect</w:t>
            </w:r>
          </w:p>
        </w:tc>
      </w:tr>
    </w:tbl>
    <w:p>
      <w:pPr>
        <w:pStyle w:val="Heading2"/>
      </w:pPr>
      <w:r>
        <w:t>`BP006` architecture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Pair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Executor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Reviewer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Best condition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P2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no material MoE gain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P4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P6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llama3.2:3b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modest local-local gain</w:t>
            </w:r>
          </w:p>
        </w:tc>
      </w:tr>
    </w:tbl>
    <w:p>
      <w:pPr>
        <w:pStyle w:val="Heading1"/>
      </w:pPr>
      <w:r>
        <w:t>Supplement F. Local Runtime And Environment Constraints</w:t>
      </w:r>
    </w:p>
    <w:p>
      <w:r>
        <w:t>The local branch should be interpreted with the following environmental constraints in mind:</w:t>
      </w:r>
    </w:p>
    <w:p>
      <w:pPr>
        <w:pStyle w:val="ListBullet"/>
      </w:pPr>
      <w:r>
        <w:t>one-model-at-a-time storage discipline on the current machine</w:t>
      </w:r>
    </w:p>
    <w:p>
      <w:pPr>
        <w:pStyle w:val="ListBullet"/>
      </w:pPr>
      <w:r>
        <w:t>slower local inference than hosted runs</w:t>
      </w:r>
    </w:p>
    <w:p>
      <w:pPr>
        <w:pStyle w:val="ListBullet"/>
      </w:pPr>
      <w:r>
        <w:t>lower-quality all-local review loops than hosted-review loops</w:t>
      </w:r>
    </w:p>
    <w:p>
      <w:pPr>
        <w:pStyle w:val="ListBullet"/>
      </w:pPr>
      <w:r>
        <w:t>stronger sensitivity to runtime instability during revise-and-check cycles</w:t>
      </w:r>
    </w:p>
    <w:p>
      <w:r>
        <w:t>These constraints matter because local ceilings reflect both model capability and operating environment. The local branch therefore supports resilience claims, not hosted-quality parity claims.</w:t>
      </w:r>
    </w:p>
    <w:p>
      <w:pPr>
        <w:pStyle w:val="Heading1"/>
      </w:pPr>
      <w:r>
        <w:t>Supplement G. Data, Materials, And Audit Trail Availability</w:t>
      </w:r>
    </w:p>
    <w:p>
      <w:r>
        <w:t>The following materials are publicly available as part of the manuscript evidence chain in the Quantyra Teaching Artifacts repository:</w:t>
      </w:r>
    </w:p>
    <w:p>
      <w:pPr>
        <w:pStyle w:val="ListBullet"/>
      </w:pPr>
      <w:r>
        <w:t xml:space="preserve">repository: </w:t>
      </w:r>
      <w:r>
        <w:rPr>
          <w:rFonts w:ascii="Consolas" w:hAnsi="Consolas"/>
        </w:rPr>
        <w:t>https://github.com/dfredriksen/quantyra-teaching-artifacts</w:t>
      </w:r>
    </w:p>
    <w:p>
      <w:pPr>
        <w:pStyle w:val="ListBullet"/>
      </w:pPr>
      <w:r>
        <w:t xml:space="preserve">fixed paper-support release: </w:t>
      </w:r>
      <w:r>
        <w:rPr>
          <w:rFonts w:ascii="Consolas" w:hAnsi="Consolas"/>
        </w:rPr>
        <w:t>https://github.com/dfredriksen/quantyra-teaching-artifacts/releases/tag/v1.0.1</w:t>
      </w:r>
    </w:p>
    <w:p>
      <w:pPr>
        <w:pStyle w:val="ListBullet"/>
      </w:pPr>
      <w:r>
        <w:t>benchmark packets</w:t>
      </w:r>
    </w:p>
    <w:p>
      <w:pPr>
        <w:pStyle w:val="ListBullet"/>
      </w:pPr>
      <w:r>
        <w:t>run sheets</w:t>
      </w:r>
    </w:p>
    <w:p>
      <w:pPr>
        <w:pStyle w:val="ListBullet"/>
      </w:pPr>
      <w:r>
        <w:t>retained artifact chains</w:t>
      </w:r>
    </w:p>
    <w:p>
      <w:pPr>
        <w:pStyle w:val="ListBullet"/>
      </w:pPr>
      <w:r>
        <w:t>synthesis memos</w:t>
      </w:r>
    </w:p>
    <w:p>
      <w:pPr>
        <w:pStyle w:val="ListBullet"/>
      </w:pPr>
      <w:r>
        <w:t>scoring rubrics</w:t>
      </w:r>
    </w:p>
    <w:p>
      <w:pPr>
        <w:pStyle w:val="ListBullet"/>
      </w:pPr>
      <w:r>
        <w:t>human and model-based hosted review materials</w:t>
      </w:r>
    </w:p>
    <w:p>
      <w:r>
        <w:t>The separate EMSE title-page declarations now point directly to the same public repository and fixed release.</w:t>
      </w:r>
    </w:p>
    <w:sectPr w:rsidR="00FC693F" w:rsidRPr="0006063C" w:rsidSect="00034616"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