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56A2" w:val="clear"/>
            <w:tcMar>
              <w:top w:type="dxa" w:w="320"/>
              <w:left w:type="dxa" w:w="400"/>
              <w:bottom w:type="dxa" w:w="320"/>
              <w:right w:type="dxa" w:w="400"/>
            </w:tcMar>
          </w:tcPr>
          <w:p>
            <w:pPr>
              <w:jc w:val="center"/>
            </w:pPr>
            <w:r>
              <w:rPr>
                <w:rFonts w:ascii="Arial" w:cs="Arial" w:eastAsia="Arial" w:hAnsi="Arial"/>
                <w:b/>
                <w:bCs/>
                <w:color w:val="FFFFFF"/>
                <w:sz w:val="48"/>
                <w:szCs w:val="48"/>
              </w:rPr>
              <w:t xml:space="preserve">ElimuAI</w:t>
            </w:r>
          </w:p>
          <w:p>
            <w:pPr>
              <w:spacing w:before="60"/>
              <w:jc w:val="center"/>
            </w:pPr>
            <w:r>
              <w:rPr>
                <w:rFonts w:ascii="Arial" w:cs="Arial" w:eastAsia="Arial" w:hAnsi="Arial"/>
                <w:b/>
                <w:bCs/>
                <w:color w:val="CCE4FF"/>
                <w:sz w:val="26"/>
                <w:szCs w:val="26"/>
              </w:rPr>
              <w:t xml:space="preserve">CH6 Insurance Agent Network</w:t>
            </w:r>
          </w:p>
          <w:p>
            <w:pPr>
              <w:spacing w:before="40"/>
              <w:jc w:val="center"/>
            </w:pPr>
            <w:r>
              <w:rPr>
                <w:rFonts w:ascii="Arial" w:cs="Arial" w:eastAsia="Arial" w:hAnsi="Arial"/>
                <w:i/>
                <w:iCs/>
                <w:color w:val="99CCFF"/>
                <w:sz w:val="19"/>
                <w:szCs w:val="19"/>
              </w:rPr>
              <w:t xml:space="preserve">Complete Pack — Agreements, Tracking System &amp; Operational Guide</w:t>
            </w:r>
          </w:p>
        </w:tc>
      </w:tr>
    </w:tbl>
    <w:p>
      <w:pPr>
        <w:spacing w:after="0" w:before="80"/>
      </w:pPr>
      <w:r>
        <w:rPr>
          <w:rFonts w:ascii="Arial" w:cs="Arial" w:eastAsia="Arial" w:hAnsi="Arial"/>
          <w:color w:val="111111"/>
          <w:sz w:val="22"/>
          <w:szCs w:val="22"/>
        </w:rPr>
        <w:t xml:space="preserve"/>
      </w:r>
    </w:p>
    <w:p>
      <w:pPr>
        <w:jc w:val="right"/>
      </w:pPr>
      <w:r>
        <w:rPr>
          <w:rFonts w:ascii="Arial" w:cs="Arial" w:eastAsia="Arial" w:hAnsi="Arial"/>
          <w:i/>
          <w:iCs/>
          <w:color w:val="AAAAAA"/>
          <w:sz w:val="17"/>
          <w:szCs w:val="17"/>
        </w:rPr>
        <w:t xml:space="preserve">Venus Unzag Limited  |  April 2026  |  Confidential</w:t>
      </w:r>
    </w:p>
    <w:p>
      <w:pPr>
        <w:spacing w:after="0" w:before="240"/>
      </w:pPr>
      <w:r>
        <w:rPr>
          <w:rFonts w:ascii="Arial" w:cs="Arial" w:eastAsia="Arial" w:hAnsi="Arial"/>
          <w:color w:val="111111"/>
          <w:sz w:val="22"/>
          <w:szCs w:val="22"/>
        </w:rPr>
        <w:t xml:space="preserve"/>
      </w:r>
    </w:p>
    <w:p>
      <w:pPr>
        <w:pBdr>
          <w:bottom w:val="single" w:color="0056A2" w:sz="6" w:space="6"/>
        </w:pBdr>
        <w:spacing w:after="140" w:before="360"/>
      </w:pPr>
      <w:r>
        <w:rPr>
          <w:rFonts w:ascii="Arial" w:cs="Arial" w:eastAsia="Arial" w:hAnsi="Arial"/>
          <w:b/>
          <w:bCs/>
          <w:color w:val="0056A2"/>
          <w:sz w:val="28"/>
          <w:szCs w:val="28"/>
        </w:rPr>
        <w:t xml:space="preserve">What's in This Pack</w:t>
      </w:r>
    </w:p>
    <w:p>
      <w:pPr>
        <w:spacing w:after="80" w:before="80"/>
        <w:jc w:val="both"/>
      </w:pPr>
      <w:r>
        <w:rPr>
          <w:rFonts w:ascii="Arial" w:cs="Arial" w:eastAsia="Arial" w:hAnsi="Arial"/>
          <w:color w:val="444444"/>
          <w:sz w:val="22"/>
          <w:szCs w:val="22"/>
        </w:rPr>
        <w:t xml:space="preserve">This document is the master guide to ElimuAI's sixth distribution channel (CH6) — a continuous, three-tier commission structure built for insurance agent networks. It ties together the legal agreements, the technical tracking system, and the operational steps needed to launch with your friend's network of agents and managers.</w:t>
      </w:r>
    </w:p>
    <w:p>
      <w:pPr>
        <w:spacing w:after="0" w:before="120"/>
      </w:pPr>
      <w:r>
        <w:rPr>
          <w:rFonts w:ascii="Arial" w:cs="Arial" w:eastAsia="Arial" w:hAnsi="Arial"/>
          <w:color w:val="111111"/>
          <w:sz w:val="22"/>
          <w:szCs w:val="22"/>
        </w:rPr>
        <w:t xml:space="preserve"/>
      </w:r>
    </w:p>
    <w:p>
      <w:pPr>
        <w:spacing w:after="100" w:before="220"/>
      </w:pPr>
      <w:r>
        <w:rPr>
          <w:rFonts w:ascii="Arial" w:cs="Arial" w:eastAsia="Arial" w:hAnsi="Arial"/>
          <w:b/>
          <w:bCs/>
          <w:color w:val="111111"/>
          <w:sz w:val="24"/>
          <w:szCs w:val="24"/>
        </w:rPr>
        <w:t xml:space="preserve">Pack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E8F1FA" w:val="clear"/>
            <w:tcMar>
              <w:top w:type="dxa" w:w="90"/>
              <w:left w:type="dxa" w:w="140"/>
              <w:bottom w:type="dxa" w:w="90"/>
              <w:right w:type="dxa" w:w="140"/>
            </w:tcMar>
          </w:tcPr>
          <w:p>
            <w:r>
              <w:rPr>
                <w:rFonts w:ascii="Courier New" w:cs="Courier New" w:eastAsia="Courier New" w:hAnsi="Courier New"/>
                <w:b/>
                <w:bCs/>
                <w:color w:val="0056A2"/>
                <w:sz w:val="19"/>
                <w:szCs w:val="19"/>
              </w:rPr>
              <w:t xml:space="preserve">ElimuAI_CH6_OptionA_1_Network_Head_Agreement.docx</w:t>
            </w:r>
          </w:p>
        </w:tc>
        <w:tc>
          <w:tcPr>
            <w:tcW w:type="dxa" w:w="1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pPr>
              <w:jc w:val="center"/>
            </w:pPr>
            <w:r>
              <w:rPr>
                <w:rFonts w:ascii="Arial" w:cs="Arial" w:eastAsia="Arial" w:hAnsi="Arial"/>
                <w:color w:val="777777"/>
                <w:sz w:val="18"/>
                <w:szCs w:val="18"/>
              </w:rPr>
              <w:t xml:space="preserve">Legal</w:t>
            </w:r>
          </w:p>
        </w:tc>
        <w:tc>
          <w:tcPr>
            <w:tcW w:type="dxa" w:w="536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rFonts w:ascii="Arial" w:cs="Arial" w:eastAsia="Arial" w:hAnsi="Arial"/>
                <w:color w:val="444444"/>
                <w:sz w:val="19"/>
                <w:szCs w:val="19"/>
              </w:rPr>
              <w:t xml:space="preserve">Full agreement for the Network Head (your friend) — covers the entire network's terms in one document.</w:t>
            </w:r>
          </w:p>
        </w:tc>
      </w:tr>
    </w:tbl>
    <w:p>
      <w:pPr>
        <w:spacing w:after="0" w:before="6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E8F1FA" w:val="clear"/>
            <w:tcMar>
              <w:top w:type="dxa" w:w="90"/>
              <w:left w:type="dxa" w:w="140"/>
              <w:bottom w:type="dxa" w:w="90"/>
              <w:right w:type="dxa" w:w="140"/>
            </w:tcMar>
          </w:tcPr>
          <w:p>
            <w:r>
              <w:rPr>
                <w:rFonts w:ascii="Courier New" w:cs="Courier New" w:eastAsia="Courier New" w:hAnsi="Courier New"/>
                <w:b/>
                <w:bCs/>
                <w:color w:val="0056A2"/>
                <w:sz w:val="19"/>
                <w:szCs w:val="19"/>
              </w:rPr>
              <w:t xml:space="preserve">ElimuAI_CH6_OptionA_2_Manager_Agreement.docx</w:t>
            </w:r>
          </w:p>
        </w:tc>
        <w:tc>
          <w:tcPr>
            <w:tcW w:type="dxa" w:w="1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pPr>
              <w:jc w:val="center"/>
            </w:pPr>
            <w:r>
              <w:rPr>
                <w:rFonts w:ascii="Arial" w:cs="Arial" w:eastAsia="Arial" w:hAnsi="Arial"/>
                <w:color w:val="777777"/>
                <w:sz w:val="18"/>
                <w:szCs w:val="18"/>
              </w:rPr>
              <w:t xml:space="preserve">Legal</w:t>
            </w:r>
          </w:p>
        </w:tc>
        <w:tc>
          <w:tcPr>
            <w:tcW w:type="dxa" w:w="536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rFonts w:ascii="Arial" w:cs="Arial" w:eastAsia="Arial" w:hAnsi="Arial"/>
                <w:color w:val="444444"/>
                <w:sz w:val="19"/>
                <w:szCs w:val="19"/>
              </w:rPr>
              <w:t xml:space="preserve">Individual agreement for each Team Manager — their 8% override and obligations.</w:t>
            </w:r>
          </w:p>
        </w:tc>
      </w:tr>
    </w:tbl>
    <w:p>
      <w:pPr>
        <w:spacing w:after="0" w:before="6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E8F1FA" w:val="clear"/>
            <w:tcMar>
              <w:top w:type="dxa" w:w="90"/>
              <w:left w:type="dxa" w:w="140"/>
              <w:bottom w:type="dxa" w:w="90"/>
              <w:right w:type="dxa" w:w="140"/>
            </w:tcMar>
          </w:tcPr>
          <w:p>
            <w:r>
              <w:rPr>
                <w:rFonts w:ascii="Courier New" w:cs="Courier New" w:eastAsia="Courier New" w:hAnsi="Courier New"/>
                <w:b/>
                <w:bCs/>
                <w:color w:val="0056A2"/>
                <w:sz w:val="19"/>
                <w:szCs w:val="19"/>
              </w:rPr>
              <w:t xml:space="preserve">ElimuAI_CH6_OptionA_3_Agent_Agreement.docx</w:t>
            </w:r>
          </w:p>
        </w:tc>
        <w:tc>
          <w:tcPr>
            <w:tcW w:type="dxa" w:w="1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pPr>
              <w:jc w:val="center"/>
            </w:pPr>
            <w:r>
              <w:rPr>
                <w:rFonts w:ascii="Arial" w:cs="Arial" w:eastAsia="Arial" w:hAnsi="Arial"/>
                <w:color w:val="777777"/>
                <w:sz w:val="18"/>
                <w:szCs w:val="18"/>
              </w:rPr>
              <w:t xml:space="preserve">Legal</w:t>
            </w:r>
          </w:p>
        </w:tc>
        <w:tc>
          <w:tcPr>
            <w:tcW w:type="dxa" w:w="536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rFonts w:ascii="Arial" w:cs="Arial" w:eastAsia="Arial" w:hAnsi="Arial"/>
                <w:color w:val="444444"/>
                <w:sz w:val="19"/>
                <w:szCs w:val="19"/>
              </w:rPr>
              <w:t xml:space="preserve">Individual agreement for each Insurance Agent — their 15% continuous commission.</w:t>
            </w:r>
          </w:p>
        </w:tc>
      </w:tr>
    </w:tbl>
    <w:p>
      <w:pPr>
        <w:spacing w:after="0" w:before="6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E8F1FA" w:val="clear"/>
            <w:tcMar>
              <w:top w:type="dxa" w:w="90"/>
              <w:left w:type="dxa" w:w="140"/>
              <w:bottom w:type="dxa" w:w="90"/>
              <w:right w:type="dxa" w:w="140"/>
            </w:tcMar>
          </w:tcPr>
          <w:p>
            <w:r>
              <w:rPr>
                <w:rFonts w:ascii="Courier New" w:cs="Courier New" w:eastAsia="Courier New" w:hAnsi="Courier New"/>
                <w:b/>
                <w:bCs/>
                <w:color w:val="0056A2"/>
                <w:sz w:val="19"/>
                <w:szCs w:val="19"/>
              </w:rPr>
              <w:t xml:space="preserve">ElimuAI_CH6_OptionB_Master_Agreement_with_Enrollment_Form.docx</w:t>
            </w:r>
          </w:p>
        </w:tc>
        <w:tc>
          <w:tcPr>
            <w:tcW w:type="dxa" w:w="1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pPr>
              <w:jc w:val="center"/>
            </w:pPr>
            <w:r>
              <w:rPr>
                <w:rFonts w:ascii="Arial" w:cs="Arial" w:eastAsia="Arial" w:hAnsi="Arial"/>
                <w:color w:val="777777"/>
                <w:sz w:val="18"/>
                <w:szCs w:val="18"/>
              </w:rPr>
              <w:t xml:space="preserve">Legal</w:t>
            </w:r>
          </w:p>
        </w:tc>
        <w:tc>
          <w:tcPr>
            <w:tcW w:type="dxa" w:w="536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rFonts w:ascii="Arial" w:cs="Arial" w:eastAsia="Arial" w:hAnsi="Arial"/>
                <w:color w:val="444444"/>
                <w:sz w:val="19"/>
                <w:szCs w:val="19"/>
              </w:rPr>
              <w:t xml:space="preserve">Alternative: ONE master agreement with the Network Head + a short Enrollment Form template for each Manager/Agent.</w:t>
            </w:r>
          </w:p>
        </w:tc>
      </w:tr>
    </w:tbl>
    <w:p>
      <w:pPr>
        <w:spacing w:after="0" w:before="6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E8F1FA" w:val="clear"/>
            <w:tcMar>
              <w:top w:type="dxa" w:w="90"/>
              <w:left w:type="dxa" w:w="140"/>
              <w:bottom w:type="dxa" w:w="90"/>
              <w:right w:type="dxa" w:w="140"/>
            </w:tcMar>
          </w:tcPr>
          <w:p>
            <w:r>
              <w:rPr>
                <w:rFonts w:ascii="Courier New" w:cs="Courier New" w:eastAsia="Courier New" w:hAnsi="Courier New"/>
                <w:b/>
                <w:bCs/>
                <w:color w:val="0056A2"/>
                <w:sz w:val="19"/>
                <w:szCs w:val="19"/>
              </w:rPr>
              <w:t xml:space="preserve">004_ch6_migration.sql</w:t>
            </w:r>
          </w:p>
        </w:tc>
        <w:tc>
          <w:tcPr>
            <w:tcW w:type="dxa" w:w="1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pPr>
              <w:jc w:val="center"/>
            </w:pPr>
            <w:r>
              <w:rPr>
                <w:rFonts w:ascii="Arial" w:cs="Arial" w:eastAsia="Arial" w:hAnsi="Arial"/>
                <w:color w:val="777777"/>
                <w:sz w:val="18"/>
                <w:szCs w:val="18"/>
              </w:rPr>
              <w:t xml:space="preserve">Database</w:t>
            </w:r>
          </w:p>
        </w:tc>
        <w:tc>
          <w:tcPr>
            <w:tcW w:type="dxa" w:w="536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rFonts w:ascii="Arial" w:cs="Arial" w:eastAsia="Arial" w:hAnsi="Arial"/>
                <w:color w:val="444444"/>
                <w:sz w:val="19"/>
                <w:szCs w:val="19"/>
              </w:rPr>
              <w:t xml:space="preserve">PostgreSQL schema — hierarchy, networks, commission rates, bulk import staging, and 3 performance views.</w:t>
            </w:r>
          </w:p>
        </w:tc>
      </w:tr>
    </w:tbl>
    <w:p>
      <w:pPr>
        <w:spacing w:after="0" w:before="6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E8F1FA" w:val="clear"/>
            <w:tcMar>
              <w:top w:type="dxa" w:w="90"/>
              <w:left w:type="dxa" w:w="140"/>
              <w:bottom w:type="dxa" w:w="90"/>
              <w:right w:type="dxa" w:w="140"/>
            </w:tcMar>
          </w:tcPr>
          <w:p>
            <w:r>
              <w:rPr>
                <w:rFonts w:ascii="Courier New" w:cs="Courier New" w:eastAsia="Courier New" w:hAnsi="Courier New"/>
                <w:b/>
                <w:bCs/>
                <w:color w:val="0056A2"/>
                <w:sz w:val="19"/>
                <w:szCs w:val="19"/>
              </w:rPr>
              <w:t xml:space="preserve">ch6_commission_engine.py</w:t>
            </w:r>
          </w:p>
        </w:tc>
        <w:tc>
          <w:tcPr>
            <w:tcW w:type="dxa" w:w="1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pPr>
              <w:jc w:val="center"/>
            </w:pPr>
            <w:r>
              <w:rPr>
                <w:rFonts w:ascii="Arial" w:cs="Arial" w:eastAsia="Arial" w:hAnsi="Arial"/>
                <w:color w:val="777777"/>
                <w:sz w:val="18"/>
                <w:szCs w:val="18"/>
              </w:rPr>
              <w:t xml:space="preserve">Backend</w:t>
            </w:r>
          </w:p>
        </w:tc>
        <w:tc>
          <w:tcPr>
            <w:tcW w:type="dxa" w:w="536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rFonts w:ascii="Arial" w:cs="Arial" w:eastAsia="Arial" w:hAnsi="Arial"/>
                <w:color w:val="444444"/>
                <w:sz w:val="19"/>
                <w:szCs w:val="19"/>
              </w:rPr>
              <w:t xml:space="preserve">Pure Python commission calculator — 4-way split (Agent/Manager/Head/GM) with forfeiture logic.</w:t>
            </w:r>
          </w:p>
        </w:tc>
      </w:tr>
    </w:tbl>
    <w:p>
      <w:pPr>
        <w:spacing w:after="0" w:before="6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E8F1FA" w:val="clear"/>
            <w:tcMar>
              <w:top w:type="dxa" w:w="90"/>
              <w:left w:type="dxa" w:w="140"/>
              <w:bottom w:type="dxa" w:w="90"/>
              <w:right w:type="dxa" w:w="140"/>
            </w:tcMar>
          </w:tcPr>
          <w:p>
            <w:r>
              <w:rPr>
                <w:rFonts w:ascii="Courier New" w:cs="Courier New" w:eastAsia="Courier New" w:hAnsi="Courier New"/>
                <w:b/>
                <w:bCs/>
                <w:color w:val="0056A2"/>
                <w:sz w:val="19"/>
                <w:szCs w:val="19"/>
              </w:rPr>
              <w:t xml:space="preserve">ch6_router.py</w:t>
            </w:r>
          </w:p>
        </w:tc>
        <w:tc>
          <w:tcPr>
            <w:tcW w:type="dxa" w:w="1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pPr>
              <w:jc w:val="center"/>
            </w:pPr>
            <w:r>
              <w:rPr>
                <w:rFonts w:ascii="Arial" w:cs="Arial" w:eastAsia="Arial" w:hAnsi="Arial"/>
                <w:color w:val="777777"/>
                <w:sz w:val="18"/>
                <w:szCs w:val="18"/>
              </w:rPr>
              <w:t xml:space="preserve">Backend</w:t>
            </w:r>
          </w:p>
        </w:tc>
        <w:tc>
          <w:tcPr>
            <w:tcW w:type="dxa" w:w="536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rFonts w:ascii="Arial" w:cs="Arial" w:eastAsia="Arial" w:hAnsi="Arial"/>
                <w:color w:val="444444"/>
                <w:sz w:val="19"/>
                <w:szCs w:val="19"/>
              </w:rPr>
              <w:t xml:space="preserve">FastAPI routes — network setup, CSV bulk import (1,200 agents), conversion processing, dashboards.</w:t>
            </w:r>
          </w:p>
        </w:tc>
      </w:tr>
    </w:tbl>
    <w:p>
      <w:pPr>
        <w:spacing w:after="0" w:before="6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E8F1FA" w:val="clear"/>
            <w:tcMar>
              <w:top w:type="dxa" w:w="90"/>
              <w:left w:type="dxa" w:w="140"/>
              <w:bottom w:type="dxa" w:w="90"/>
              <w:right w:type="dxa" w:w="140"/>
            </w:tcMar>
          </w:tcPr>
          <w:p>
            <w:r>
              <w:rPr>
                <w:rFonts w:ascii="Courier New" w:cs="Courier New" w:eastAsia="Courier New" w:hAnsi="Courier New"/>
                <w:b/>
                <w:bCs/>
                <w:color w:val="0056A2"/>
                <w:sz w:val="19"/>
                <w:szCs w:val="19"/>
              </w:rPr>
              <w:t xml:space="preserve">InsuranceNetworkDashboard.jsx</w:t>
            </w:r>
          </w:p>
        </w:tc>
        <w:tc>
          <w:tcPr>
            <w:tcW w:type="dxa" w:w="1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pPr>
              <w:jc w:val="center"/>
            </w:pPr>
            <w:r>
              <w:rPr>
                <w:rFonts w:ascii="Arial" w:cs="Arial" w:eastAsia="Arial" w:hAnsi="Arial"/>
                <w:color w:val="777777"/>
                <w:sz w:val="18"/>
                <w:szCs w:val="18"/>
              </w:rPr>
              <w:t xml:space="preserve">Frontend</w:t>
            </w:r>
          </w:p>
        </w:tc>
        <w:tc>
          <w:tcPr>
            <w:tcW w:type="dxa" w:w="536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rFonts w:ascii="Arial" w:cs="Arial" w:eastAsia="Arial" w:hAnsi="Arial"/>
                <w:color w:val="444444"/>
                <w:sz w:val="19"/>
                <w:szCs w:val="19"/>
              </w:rPr>
              <w:t xml:space="preserve">React dashboard with 3 views: Network Head (drill-down), Manager (team view), Agent (own performance + referral link).</w:t>
            </w:r>
          </w:p>
        </w:tc>
      </w:tr>
    </w:tbl>
    <w:p>
      <w:pPr>
        <w:spacing w:after="0" w:before="6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E8F1FA" w:val="clear"/>
            <w:tcMar>
              <w:top w:type="dxa" w:w="90"/>
              <w:left w:type="dxa" w:w="140"/>
              <w:bottom w:type="dxa" w:w="90"/>
              <w:right w:type="dxa" w:w="140"/>
            </w:tcMar>
          </w:tcPr>
          <w:p>
            <w:r>
              <w:rPr>
                <w:rFonts w:ascii="Courier New" w:cs="Courier New" w:eastAsia="Courier New" w:hAnsi="Courier New"/>
                <w:b/>
                <w:bCs/>
                <w:color w:val="0056A2"/>
                <w:sz w:val="19"/>
                <w:szCs w:val="19"/>
              </w:rPr>
              <w:t xml:space="preserve">README.md</w:t>
            </w:r>
          </w:p>
        </w:tc>
        <w:tc>
          <w:tcPr>
            <w:tcW w:type="dxa" w:w="1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pPr>
              <w:jc w:val="center"/>
            </w:pPr>
            <w:r>
              <w:rPr>
                <w:rFonts w:ascii="Arial" w:cs="Arial" w:eastAsia="Arial" w:hAnsi="Arial"/>
                <w:color w:val="777777"/>
                <w:sz w:val="18"/>
                <w:szCs w:val="18"/>
              </w:rPr>
              <w:t xml:space="preserve">Docs</w:t>
            </w:r>
          </w:p>
        </w:tc>
        <w:tc>
          <w:tcPr>
            <w:tcW w:type="dxa" w:w="536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rFonts w:ascii="Arial" w:cs="Arial" w:eastAsia="Arial" w:hAnsi="Arial"/>
                <w:color w:val="444444"/>
                <w:sz w:val="19"/>
                <w:szCs w:val="19"/>
              </w:rPr>
              <w:t xml:space="preserve">Step-by-step technical setup guide — migrations, CSV format, API calls, testing.</w:t>
            </w:r>
          </w:p>
        </w:tc>
      </w:tr>
    </w:tbl>
    <w:p>
      <w:pPr>
        <w:spacing w:after="0" w:before="240"/>
      </w:pPr>
      <w:r>
        <w:rPr>
          <w:rFonts w:ascii="Arial" w:cs="Arial" w:eastAsia="Arial" w:hAnsi="Arial"/>
          <w:color w:val="111111"/>
          <w:sz w:val="22"/>
          <w:szCs w:val="22"/>
        </w:rPr>
        <w:t xml:space="preserve"/>
      </w:r>
    </w:p>
    <w:p>
      <w:pPr>
        <w:pBdr>
          <w:bottom w:val="single" w:color="0056A2" w:sz="6" w:space="6"/>
        </w:pBdr>
        <w:spacing w:after="140" w:before="360"/>
      </w:pPr>
      <w:r>
        <w:rPr>
          <w:rFonts w:ascii="Arial" w:cs="Arial" w:eastAsia="Arial" w:hAnsi="Arial"/>
          <w:b/>
          <w:bCs/>
          <w:color w:val="0056A2"/>
          <w:sz w:val="28"/>
          <w:szCs w:val="28"/>
        </w:rPr>
        <w:t xml:space="preserve">Step 1 — Choose Your Agreement Structure</w:t>
      </w:r>
    </w:p>
    <w:p>
      <w:pPr>
        <w:spacing w:after="80" w:before="80"/>
        <w:jc w:val="both"/>
      </w:pPr>
      <w:r>
        <w:rPr>
          <w:rFonts w:ascii="Arial" w:cs="Arial" w:eastAsia="Arial" w:hAnsi="Arial"/>
          <w:color w:val="444444"/>
          <w:sz w:val="22"/>
          <w:szCs w:val="22"/>
        </w:rPr>
        <w:t xml:space="preserve">Two legal options are provided. Review both with your friend (the Network Head) and pick whichever fits his organisation's preferences and how he wants his managers and agents to experience the paperwork.</w:t>
      </w:r>
    </w:p>
    <w:p>
      <w:pPr>
        <w:spacing w:after="0" w:before="100"/>
      </w:pPr>
      <w:r>
        <w:rPr>
          <w:rFonts w:ascii="Arial" w:cs="Arial" w:eastAsia="Arial" w:hAnsi="Arial"/>
          <w:color w:val="111111"/>
          <w:sz w:val="22"/>
          <w:szCs w:val="22"/>
        </w:rPr>
        <w:t xml:space="preserve"/>
      </w:r>
    </w:p>
    <w:p>
      <w:pPr>
        <w:spacing w:after="100" w:before="220"/>
      </w:pPr>
      <w:r>
        <w:rPr>
          <w:rFonts w:ascii="Arial" w:cs="Arial" w:eastAsia="Arial" w:hAnsi="Arial"/>
          <w:b/>
          <w:bCs/>
          <w:color w:val="111111"/>
          <w:sz w:val="24"/>
          <w:szCs w:val="24"/>
        </w:rPr>
        <w:t xml:space="preserve">Option A — Three Separate Agreements</w:t>
      </w:r>
    </w:p>
    <w:p>
      <w:pPr>
        <w:spacing w:after="80" w:before="80"/>
        <w:jc w:val="both"/>
      </w:pPr>
      <w:r>
        <w:rPr>
          <w:rFonts w:ascii="Arial" w:cs="Arial" w:eastAsia="Arial" w:hAnsi="Arial"/>
          <w:color w:val="444444"/>
          <w:sz w:val="22"/>
          <w:szCs w:val="22"/>
        </w:rPr>
        <w:t xml:space="preserve">One agreement template per role: Network Head, Manager, and Agent. Each of the 1,200 agents and their managers signs their own copy of the relevant agreement.</w:t>
      </w:r>
    </w:p>
    <w:p>
      <w:pPr>
        <w:spacing w:after="0" w:before="6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Pros</w:t>
            </w:r>
          </w:p>
        </w:tc>
        <w:tc>
          <w:tcPr>
            <w:tcW w:type="dxa" w:w="468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Cons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Each role has a tailored, complete agreement covering exactly their obligations and commission level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1,200+ individual agreements to distribute, collect, and file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11111"/>
                <w:sz w:val="19"/>
                <w:szCs w:val="19"/>
              </w:rPr>
              <w:t xml:space="preserve">Clear and self-contained — an agent only needs to read their own document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Any future rate change requires re-issuing agreements to everyone, or a formal amendment process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Easier for an individual to understand their specific deal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More administrative overhead for the Network Head</w:t>
            </w:r>
          </w:p>
        </w:tc>
      </w:tr>
    </w:tbl>
    <w:p>
      <w:pPr>
        <w:spacing w:after="0" w:before="120"/>
      </w:pPr>
      <w:r>
        <w:rPr>
          <w:rFonts w:ascii="Arial" w:cs="Arial" w:eastAsia="Arial" w:hAnsi="Arial"/>
          <w:color w:val="111111"/>
          <w:sz w:val="22"/>
          <w:szCs w:val="22"/>
        </w:rPr>
        <w:t xml:space="preserve"/>
      </w:r>
    </w:p>
    <w:p>
      <w:pPr>
        <w:spacing w:after="100" w:before="220"/>
      </w:pPr>
      <w:r>
        <w:rPr>
          <w:rFonts w:ascii="Arial" w:cs="Arial" w:eastAsia="Arial" w:hAnsi="Arial"/>
          <w:b/>
          <w:bCs/>
          <w:color w:val="111111"/>
          <w:sz w:val="24"/>
          <w:szCs w:val="24"/>
        </w:rPr>
        <w:t xml:space="preserve">Option B — Master Agreement + Enrollment Form</w:t>
      </w:r>
    </w:p>
    <w:p>
      <w:pPr>
        <w:spacing w:after="80" w:before="80"/>
        <w:jc w:val="both"/>
      </w:pPr>
      <w:r>
        <w:rPr>
          <w:rFonts w:ascii="Arial" w:cs="Arial" w:eastAsia="Arial" w:hAnsi="Arial"/>
          <w:color w:val="444444"/>
          <w:sz w:val="22"/>
          <w:szCs w:val="22"/>
        </w:rPr>
        <w:t xml:space="preserve">ONE master agreement signed only by the Network Head (your friend), which sets out the entire commission structure, hierarchy, and rules. Each Manager and Agent then signs (or digitally accepts in-app) a short one-page Enrollment Form that incorporates the Master Agreement by reference.</w:t>
      </w:r>
    </w:p>
    <w:p>
      <w:pPr>
        <w:spacing w:after="0" w:before="6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Pros</w:t>
            </w:r>
          </w:p>
        </w:tc>
        <w:tc>
          <w:tcPr>
            <w:tcW w:type="dxa" w:w="468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Cons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Only one full legal document to negotiate and sign — with the Network Head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Individual agents/managers must trust that the referenced Master Agreement terms apply to them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11111"/>
                <w:sz w:val="19"/>
                <w:szCs w:val="19"/>
              </w:rPr>
              <w:t xml:space="preserve">Enrollment Forms can be completed digitally/in-app — ideal for onboarding 1,200 people quickly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If the Network Head's relationship with ElimuAI ends, the legal basis for individual enrollments needs the wind-down clause (Clause 7.3) to work cleanly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Rate changes only require updating the Master Agreement + notice — not 1,200 new documents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Slightly less detailed protection for individual agents compared to a bespoke agreement</w:t>
            </w:r>
          </w:p>
        </w:tc>
      </w:tr>
    </w:tbl>
    <w:p>
      <w:pPr>
        <w:spacing w:after="0" w:before="10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9A7400" w:sz="14"/>
              <w:bottom w:val="single" w:color="CCCCCC" w:sz="1"/>
              <w:right w:val="single" w:color="CCCCCC" w:sz="1"/>
            </w:tcBorders>
            <w:shd w:fill="FDF8E7" w:val="clear"/>
            <w:tcMar>
              <w:top w:type="dxa" w:w="110"/>
              <w:left w:type="dxa" w:w="220"/>
              <w:bottom w:type="dxa" w:w="110"/>
              <w:right w:type="dxa" w:w="200"/>
            </w:tcMar>
          </w:tcPr>
          <w:p>
            <w:r>
              <w:rPr>
                <w:rFonts w:ascii="Arial" w:cs="Arial" w:eastAsia="Arial" w:hAnsi="Arial"/>
                <w:i/>
                <w:iCs/>
                <w:color w:val="5A4500"/>
                <w:sz w:val="20"/>
                <w:szCs w:val="20"/>
              </w:rPr>
              <w:t xml:space="preserve">Recommendation: For a network of 1,200, Option B is significantly more practical to administer — the Enrollment Form can be built directly into the agent's first login on the ElimuAI platform (a checkbox + digital signature), removing paperwork entirely. Option A may suit a smaller pilot group first.</w:t>
            </w:r>
          </w:p>
        </w:tc>
      </w:tr>
    </w:tbl>
    <w:p>
      <w:pPr>
        <w:spacing w:after="0" w:before="240"/>
      </w:pPr>
      <w:r>
        <w:rPr>
          <w:rFonts w:ascii="Arial" w:cs="Arial" w:eastAsia="Arial" w:hAnsi="Arial"/>
          <w:color w:val="111111"/>
          <w:sz w:val="22"/>
          <w:szCs w:val="22"/>
        </w:rPr>
        <w:t xml:space="preserve"/>
      </w:r>
    </w:p>
    <w:p>
      <w:pPr>
        <w:pBdr>
          <w:bottom w:val="single" w:color="0056A2" w:sz="6" w:space="6"/>
        </w:pBdr>
        <w:spacing w:after="140" w:before="360"/>
      </w:pPr>
      <w:r>
        <w:rPr>
          <w:rFonts w:ascii="Arial" w:cs="Arial" w:eastAsia="Arial" w:hAnsi="Arial"/>
          <w:b/>
          <w:bCs/>
          <w:color w:val="0056A2"/>
          <w:sz w:val="28"/>
          <w:szCs w:val="28"/>
        </w:rPr>
        <w:t xml:space="preserve">Step 2 — Confirm the Commission Structure</w:t>
      </w:r>
    </w:p>
    <w:p>
      <w:pPr>
        <w:spacing w:after="80" w:before="80"/>
        <w:jc w:val="both"/>
      </w:pPr>
      <w:r>
        <w:rPr>
          <w:rFonts w:ascii="Arial" w:cs="Arial" w:eastAsia="Arial" w:hAnsi="Arial"/>
          <w:color w:val="444444"/>
          <w:sz w:val="22"/>
          <w:szCs w:val="22"/>
        </w:rPr>
        <w:t xml:space="preserve">Both agreement options encode the same commission structure. This is the single source of truth — make sure the database (ch6_commission_rates table) always matches what's in the signed agreement.</w:t>
      </w:r>
    </w:p>
    <w:p>
      <w:pPr>
        <w:spacing w:after="0" w:before="8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2660"/>
        <w:gridCol w:w="2000"/>
      </w:tblGrid>
      <w:tr>
        <w:tc>
          <w:tcPr>
            <w:tcW w:type="dxa" w:w="320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Level</w:t>
            </w:r>
          </w:p>
        </w:tc>
        <w:tc>
          <w:tcPr>
            <w:tcW w:type="dxa" w:w="150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Rate</w:t>
            </w:r>
          </w:p>
        </w:tc>
        <w:tc>
          <w:tcPr>
            <w:tcW w:type="dxa" w:w="266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Model</w:t>
            </w:r>
          </w:p>
        </w:tc>
        <w:tc>
          <w:tcPr>
            <w:tcW w:type="dxa" w:w="200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On KES 499/month plan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Insurance Agent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15%</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Continuous — every billing cycle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KES 74.85</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11111"/>
                <w:sz w:val="19"/>
                <w:szCs w:val="19"/>
              </w:rPr>
              <w:t xml:space="preserve">Manager Override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8%</w:t>
            </w:r>
          </w:p>
        </w:tc>
        <w:tc>
          <w:tcPr>
            <w:tcW w:type="dxa" w:w="2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Continuous — on team's referrals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KES 39.92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Network Head Override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5%</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Continuous — network-wide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KES 24.95</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11111"/>
                <w:sz w:val="19"/>
                <w:szCs w:val="19"/>
              </w:rPr>
              <w:t xml:space="preserve">ElimuAI Growth Marketer Rider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5%</w:t>
            </w:r>
          </w:p>
        </w:tc>
        <w:tc>
          <w:tcPr>
            <w:tcW w:type="dxa" w:w="2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Continuous — all channels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KES 24.95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TOTAL COMMISSION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33%</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Continuous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KES 164.67</w:t>
            </w:r>
          </w:p>
        </w:tc>
      </w:tr>
    </w:tbl>
    <w:p>
      <w:pPr>
        <w:spacing w:after="0" w:before="10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B0000" w:sz="14"/>
              <w:bottom w:val="single" w:color="CCCCCC" w:sz="1"/>
              <w:right w:val="single" w:color="CCCCCC" w:sz="1"/>
            </w:tcBorders>
            <w:shd w:fill="FFF0F0" w:val="clear"/>
            <w:tcMar>
              <w:top w:type="dxa" w:w="110"/>
              <w:left w:type="dxa" w:w="220"/>
              <w:bottom w:type="dxa" w:w="110"/>
              <w:right w:type="dxa" w:w="200"/>
            </w:tcMar>
          </w:tcPr>
          <w:p>
            <w:r>
              <w:rPr>
                <w:rFonts w:ascii="Arial" w:cs="Arial" w:eastAsia="Arial" w:hAnsi="Arial"/>
                <w:b/>
                <w:bCs/>
                <w:color w:val="8B0000"/>
                <w:sz w:val="20"/>
                <w:szCs w:val="20"/>
              </w:rPr>
              <w:t xml:space="preserve">Tax treatment: Each individual (Agent, Manager, Network Head) is responsible for their own tax obligations on commission income received. ElimuAI pays gross commission — the 35% government tax is already factored into ElimuAI's subscription pricing, not deducted again from commission payouts.</w:t>
            </w:r>
          </w:p>
        </w:tc>
      </w:tr>
    </w:tbl>
    <w:p>
      <w:pPr>
        <w:spacing w:after="0" w:before="240"/>
      </w:pPr>
      <w:r>
        <w:rPr>
          <w:rFonts w:ascii="Arial" w:cs="Arial" w:eastAsia="Arial" w:hAnsi="Arial"/>
          <w:color w:val="111111"/>
          <w:sz w:val="22"/>
          <w:szCs w:val="22"/>
        </w:rPr>
        <w:t xml:space="preserve"/>
      </w:r>
    </w:p>
    <w:p>
      <w:pPr>
        <w:pBdr>
          <w:bottom w:val="single" w:color="0056A2" w:sz="6" w:space="6"/>
        </w:pBdr>
        <w:spacing w:after="140" w:before="360"/>
      </w:pPr>
      <w:r>
        <w:rPr>
          <w:rFonts w:ascii="Arial" w:cs="Arial" w:eastAsia="Arial" w:hAnsi="Arial"/>
          <w:b/>
          <w:bCs/>
          <w:color w:val="0056A2"/>
          <w:sz w:val="28"/>
          <w:szCs w:val="28"/>
        </w:rPr>
        <w:t xml:space="preserve">Step 3 — Collect Network Data From Your Friend</w:t>
      </w:r>
    </w:p>
    <w:p>
      <w:pPr>
        <w:spacing w:after="80" w:before="80"/>
        <w:jc w:val="both"/>
      </w:pPr>
      <w:r>
        <w:rPr>
          <w:rFonts w:ascii="Arial" w:cs="Arial" w:eastAsia="Arial" w:hAnsi="Arial"/>
          <w:color w:val="444444"/>
          <w:sz w:val="22"/>
          <w:szCs w:val="22"/>
        </w:rPr>
        <w:t xml:space="preserve">Before any technical setup, get the following from your friend in the CSV format below. This single file is what powers the entire bulk import.</w:t>
      </w:r>
    </w:p>
    <w:p>
      <w:pPr>
        <w:spacing w:after="0" w:before="8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Column</w:t>
            </w:r>
          </w:p>
        </w:tc>
        <w:tc>
          <w:tcPr>
            <w:tcW w:type="dxa" w:w="140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Required?</w:t>
            </w:r>
          </w:p>
        </w:tc>
        <w:tc>
          <w:tcPr>
            <w:tcW w:type="dxa" w:w="556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full_name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Yes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Full name of the agent or manager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11111"/>
                <w:sz w:val="19"/>
                <w:szCs w:val="19"/>
              </w:rPr>
              <w:t xml:space="preserve">phone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Yes</w:t>
            </w:r>
          </w:p>
        </w:tc>
        <w:tc>
          <w:tcPr>
            <w:tcW w:type="dxa" w:w="5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Phone number — used for platform login (OTP)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mpesa_number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Yes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M-Pesa number for commission payouts (can be same as phone)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11111"/>
                <w:sz w:val="19"/>
                <w:szCs w:val="19"/>
              </w:rPr>
              <w:t xml:space="preserve">email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Optional</w:t>
            </w:r>
          </w:p>
        </w:tc>
        <w:tc>
          <w:tcPr>
            <w:tcW w:type="dxa" w:w="5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Email address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role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Yes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Exactly 'manager' or 'agent' (lowercase)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11111"/>
                <w:sz w:val="19"/>
                <w:szCs w:val="19"/>
              </w:rPr>
              <w:t xml:space="preserve">employee_number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Yes</w:t>
            </w:r>
          </w:p>
        </w:tc>
        <w:tc>
          <w:tcPr>
            <w:tcW w:type="dxa" w:w="5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Unique ID from the insurance company — must be unique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manager_employee_number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Agents only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Must match a manager's employee_number exactly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11111"/>
                <w:sz w:val="19"/>
                <w:szCs w:val="19"/>
              </w:rPr>
              <w:t xml:space="preserve">region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Optional</w:t>
            </w:r>
          </w:p>
        </w:tc>
        <w:tc>
          <w:tcPr>
            <w:tcW w:type="dxa" w:w="5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County or operating area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custom_code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Optional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Pre-assigned referral code — leave blank to auto-generate</w:t>
            </w:r>
          </w:p>
        </w:tc>
      </w:tr>
    </w:tbl>
    <w:p>
      <w:pPr>
        <w:spacing w:after="0" w:before="10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9A7400" w:sz="14"/>
              <w:bottom w:val="single" w:color="CCCCCC" w:sz="1"/>
              <w:right w:val="single" w:color="CCCCCC" w:sz="1"/>
            </w:tcBorders>
            <w:shd w:fill="FDF8E7" w:val="clear"/>
            <w:tcMar>
              <w:top w:type="dxa" w:w="110"/>
              <w:left w:type="dxa" w:w="220"/>
              <w:bottom w:type="dxa" w:w="110"/>
              <w:right w:type="dxa" w:w="200"/>
            </w:tcMar>
          </w:tcPr>
          <w:p>
            <w:r>
              <w:rPr>
                <w:rFonts w:ascii="Arial" w:cs="Arial" w:eastAsia="Arial" w:hAnsi="Arial"/>
                <w:i/>
                <w:iCs/>
                <w:color w:val="5A4500"/>
                <w:sz w:val="20"/>
                <w:szCs w:val="20"/>
              </w:rPr>
              <w:t xml:space="preserve">Practical tip: Ask your friend's insurance company HR/operations team for an export of their agent roster — it likely already has employee numbers, phone numbers, and manager assignments. This can usually be reformatted into the CSV above in under an hour using Excel.</w:t>
            </w:r>
          </w:p>
        </w:tc>
      </w:tr>
    </w:tbl>
    <w:p>
      <w:pPr>
        <w:spacing w:after="0" w:before="240"/>
      </w:pPr>
      <w:r>
        <w:rPr>
          <w:rFonts w:ascii="Arial" w:cs="Arial" w:eastAsia="Arial" w:hAnsi="Arial"/>
          <w:color w:val="111111"/>
          <w:sz w:val="22"/>
          <w:szCs w:val="22"/>
        </w:rPr>
        <w:t xml:space="preserve"/>
      </w:r>
    </w:p>
    <w:p>
      <w:pPr>
        <w:pBdr>
          <w:bottom w:val="single" w:color="0056A2" w:sz="6" w:space="6"/>
        </w:pBdr>
        <w:spacing w:after="140" w:before="360"/>
      </w:pPr>
      <w:r>
        <w:rPr>
          <w:rFonts w:ascii="Arial" w:cs="Arial" w:eastAsia="Arial" w:hAnsi="Arial"/>
          <w:b/>
          <w:bCs/>
          <w:color w:val="0056A2"/>
          <w:sz w:val="28"/>
          <w:szCs w:val="28"/>
        </w:rPr>
        <w:t xml:space="preserve">Step 4 — Technical Setup (for your developer/DevOps)</w:t>
      </w:r>
    </w:p>
    <w:p>
      <w:pPr>
        <w:spacing w:after="80" w:before="80"/>
        <w:jc w:val="both"/>
      </w:pPr>
      <w:r>
        <w:rPr>
          <w:rFonts w:ascii="Arial" w:cs="Arial" w:eastAsia="Arial" w:hAnsi="Arial"/>
          <w:color w:val="444444"/>
          <w:sz w:val="22"/>
          <w:szCs w:val="22"/>
        </w:rPr>
        <w:t xml:space="preserve">Hand the code files to whoever maintains the ElimuAI backend. The sequence is:</w:t>
      </w:r>
    </w:p>
    <w:p>
      <w:pPr>
        <w:spacing w:after="0" w:before="100"/>
      </w:pPr>
      <w:r>
        <w:rPr>
          <w:rFonts w:ascii="Arial" w:cs="Arial" w:eastAsia="Arial" w:hAnsi="Arial"/>
          <w:color w:val="111111"/>
          <w:sz w:val="22"/>
          <w:szCs w:val="22"/>
        </w:rPr>
        <w:t xml:space="preserve"/>
      </w:r>
    </w:p>
    <w:p>
      <w:pPr>
        <w:pStyle w:val="ListParagraph"/>
        <w:numPr>
          <w:ilvl w:val="0"/>
          <w:numId w:val="2"/>
        </w:numPr>
        <w:spacing w:after="40" w:before="40"/>
      </w:pPr>
      <w:r>
        <w:rPr>
          <w:rFonts w:ascii="Arial" w:cs="Arial" w:eastAsia="Arial" w:hAnsi="Arial"/>
          <w:color w:val="444444"/>
          <w:sz w:val="22"/>
          <w:szCs w:val="22"/>
        </w:rPr>
        <w:t xml:space="preserve">Run the database migration: 004_ch6_migration.sql against the production database. This adds the hierarchy columns, new channel types, the insurance_networks table, and three reporting views.</w:t>
      </w:r>
    </w:p>
    <w:p>
      <w:pPr>
        <w:pStyle w:val="ListParagraph"/>
        <w:numPr>
          <w:ilvl w:val="0"/>
          <w:numId w:val="2"/>
        </w:numPr>
        <w:spacing w:after="40" w:before="40"/>
      </w:pPr>
      <w:r>
        <w:rPr>
          <w:rFonts w:ascii="Arial" w:cs="Arial" w:eastAsia="Arial" w:hAnsi="Arial"/>
          <w:color w:val="444444"/>
          <w:sz w:val="22"/>
          <w:szCs w:val="22"/>
        </w:rPr>
        <w:t xml:space="preserve">Add ch6_router.py to the FastAPI app (one line: app.include_router(ch6_router)).</w:t>
      </w:r>
    </w:p>
    <w:p>
      <w:pPr>
        <w:pStyle w:val="ListParagraph"/>
        <w:numPr>
          <w:ilvl w:val="0"/>
          <w:numId w:val="2"/>
        </w:numPr>
        <w:spacing w:after="40" w:before="40"/>
      </w:pPr>
      <w:r>
        <w:rPr>
          <w:rFonts w:ascii="Arial" w:cs="Arial" w:eastAsia="Arial" w:hAnsi="Arial"/>
          <w:color w:val="444444"/>
          <w:sz w:val="22"/>
          <w:szCs w:val="22"/>
        </w:rPr>
        <w:t xml:space="preserve">Confirm ch6_commission_engine.py rates match the signed agreement (15% / 8% / 5% / 5%).</w:t>
      </w:r>
    </w:p>
    <w:p>
      <w:pPr>
        <w:pStyle w:val="ListParagraph"/>
        <w:numPr>
          <w:ilvl w:val="0"/>
          <w:numId w:val="2"/>
        </w:numPr>
        <w:spacing w:after="40" w:before="40"/>
      </w:pPr>
      <w:r>
        <w:rPr>
          <w:rFonts w:ascii="Arial" w:cs="Arial" w:eastAsia="Arial" w:hAnsi="Arial"/>
          <w:color w:val="444444"/>
          <w:sz w:val="22"/>
          <w:szCs w:val="22"/>
        </w:rPr>
        <w:t xml:space="preserve">Create the network record via POST /api/admin/ch6/networks with your friend's details — save the returned network_id.</w:t>
      </w:r>
    </w:p>
    <w:p>
      <w:pPr>
        <w:pStyle w:val="ListParagraph"/>
        <w:numPr>
          <w:ilvl w:val="0"/>
          <w:numId w:val="2"/>
        </w:numPr>
        <w:spacing w:after="40" w:before="40"/>
      </w:pPr>
      <w:r>
        <w:rPr>
          <w:rFonts w:ascii="Arial" w:cs="Arial" w:eastAsia="Arial" w:hAnsi="Arial"/>
          <w:color w:val="444444"/>
          <w:sz w:val="22"/>
          <w:szCs w:val="22"/>
        </w:rPr>
        <w:t xml:space="preserve">Run a TEST bulk import first — 10–20 rows — via POST /api/admin/ch6/bulk-import?network_id=... with the CSV file. Check /api/admin/ch6/bulk-import/{batch_id}/errors for any issues.</w:t>
      </w:r>
    </w:p>
    <w:p>
      <w:pPr>
        <w:pStyle w:val="ListParagraph"/>
        <w:numPr>
          <w:ilvl w:val="0"/>
          <w:numId w:val="2"/>
        </w:numPr>
        <w:spacing w:after="40" w:before="40"/>
      </w:pPr>
      <w:r>
        <w:rPr>
          <w:rFonts w:ascii="Arial" w:cs="Arial" w:eastAsia="Arial" w:hAnsi="Arial"/>
          <w:color w:val="444444"/>
          <w:sz w:val="22"/>
          <w:szCs w:val="22"/>
        </w:rPr>
        <w:t xml:space="preserve">Once the test batch looks correct, import the full 1,200-row CSV.</w:t>
      </w:r>
    </w:p>
    <w:p>
      <w:pPr>
        <w:pStyle w:val="ListParagraph"/>
        <w:numPr>
          <w:ilvl w:val="0"/>
          <w:numId w:val="2"/>
        </w:numPr>
        <w:spacing w:after="40" w:before="40"/>
      </w:pPr>
      <w:r>
        <w:rPr>
          <w:rFonts w:ascii="Arial" w:cs="Arial" w:eastAsia="Arial" w:hAnsi="Arial"/>
          <w:color w:val="444444"/>
          <w:sz w:val="22"/>
          <w:szCs w:val="22"/>
        </w:rPr>
        <w:t xml:space="preserve">Mount InsuranceNetworkDashboard.jsx in the app for each role — Network Head, Manager, Agent.</w:t>
      </w:r>
    </w:p>
    <w:p>
      <w:pPr>
        <w:pStyle w:val="ListParagraph"/>
        <w:numPr>
          <w:ilvl w:val="0"/>
          <w:numId w:val="2"/>
        </w:numPr>
        <w:spacing w:after="40" w:before="40"/>
      </w:pPr>
      <w:r>
        <w:rPr>
          <w:rFonts w:ascii="Arial" w:cs="Arial" w:eastAsia="Arial" w:hAnsi="Arial"/>
          <w:color w:val="444444"/>
          <w:sz w:val="22"/>
          <w:szCs w:val="22"/>
        </w:rPr>
        <w:t xml:space="preserve">Hook /api/ch6/conversions/process into the existing M-Pesa/Stripe recurring payment webhook so commissions are created automatically every billing cycle for subscribers referred by CH6 agents.</w:t>
      </w:r>
    </w:p>
    <w:p>
      <w:pPr>
        <w:spacing w:after="0" w:before="10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40"/>
              <w:left w:type="dxa" w:w="200"/>
              <w:bottom w:type="dxa" w:w="140"/>
              <w:right w:type="dxa" w:w="200"/>
            </w:tcMar>
          </w:tcPr>
          <w:p>
            <w:pPr>
              <w:spacing w:after="0" w:before="0"/>
            </w:pPr>
            <w:r>
              <w:rPr>
                <w:rFonts w:ascii="Courier New" w:cs="Courier New" w:eastAsia="Courier New" w:hAnsi="Courier New"/>
                <w:color w:val="E2E8F0"/>
                <w:sz w:val="18"/>
                <w:szCs w:val="18"/>
              </w:rPr>
              <w:t xml:space="preserve"># Example: create the network</w:t>
            </w:r>
          </w:p>
          <w:p>
            <w:pPr>
              <w:spacing w:after="0" w:before="0"/>
            </w:pPr>
            <w:r>
              <w:rPr>
                <w:rFonts w:ascii="Courier New" w:cs="Courier New" w:eastAsia="Courier New" w:hAnsi="Courier New"/>
                <w:color w:val="E2E8F0"/>
                <w:sz w:val="18"/>
                <w:szCs w:val="18"/>
              </w:rPr>
              <w:t xml:space="preserve">curl -X POST https://api.elimuai.africa/api/admin/ch6/networks \</w:t>
            </w:r>
          </w:p>
          <w:p>
            <w:pPr>
              <w:spacing w:after="0" w:before="0"/>
            </w:pPr>
            <w:r>
              <w:rPr>
                <w:rFonts w:ascii="Courier New" w:cs="Courier New" w:eastAsia="Courier New" w:hAnsi="Courier New"/>
                <w:color w:val="E2E8F0"/>
                <w:sz w:val="18"/>
                <w:szCs w:val="18"/>
              </w:rPr>
              <w:t xml:space="preserve">  -H "Content-Type: application/json" \</w:t>
            </w:r>
          </w:p>
          <w:p>
            <w:pPr>
              <w:spacing w:after="0" w:before="0"/>
            </w:pPr>
            <w:r>
              <w:rPr>
                <w:rFonts w:ascii="Courier New" w:cs="Courier New" w:eastAsia="Courier New" w:hAnsi="Courier New"/>
                <w:color w:val="E2E8F0"/>
                <w:sz w:val="18"/>
                <w:szCs w:val="18"/>
              </w:rPr>
              <w:t xml:space="preserve">  -d '{</w:t>
            </w:r>
          </w:p>
          <w:p>
            <w:pPr>
              <w:spacing w:after="0" w:before="0"/>
            </w:pPr>
            <w:r>
              <w:rPr>
                <w:rFonts w:ascii="Courier New" w:cs="Courier New" w:eastAsia="Courier New" w:hAnsi="Courier New"/>
                <w:color w:val="E2E8F0"/>
                <w:sz w:val="18"/>
                <w:szCs w:val="18"/>
              </w:rPr>
              <w:t xml:space="preserve">    "network_name": "[Friend Name] Agency Network",</w:t>
            </w:r>
          </w:p>
          <w:p>
            <w:pPr>
              <w:spacing w:after="0" w:before="0"/>
            </w:pPr>
            <w:r>
              <w:rPr>
                <w:rFonts w:ascii="Courier New" w:cs="Courier New" w:eastAsia="Courier New" w:hAnsi="Courier New"/>
                <w:color w:val="E2E8F0"/>
                <w:sz w:val="18"/>
                <w:szCs w:val="18"/>
              </w:rPr>
              <w:t xml:space="preserve">    "head_full_name": "[Friend Full Name]",</w:t>
            </w:r>
          </w:p>
          <w:p>
            <w:pPr>
              <w:spacing w:after="0" w:before="0"/>
            </w:pPr>
            <w:r>
              <w:rPr>
                <w:rFonts w:ascii="Courier New" w:cs="Courier New" w:eastAsia="Courier New" w:hAnsi="Courier New"/>
                <w:color w:val="E2E8F0"/>
                <w:sz w:val="18"/>
                <w:szCs w:val="18"/>
              </w:rPr>
              <w:t xml:space="preserve">    "head_phone": "+254700000000",</w:t>
            </w:r>
          </w:p>
          <w:p>
            <w:pPr>
              <w:spacing w:after="0" w:before="0"/>
            </w:pPr>
            <w:r>
              <w:rPr>
                <w:rFonts w:ascii="Courier New" w:cs="Courier New" w:eastAsia="Courier New" w:hAnsi="Courier New"/>
                <w:color w:val="E2E8F0"/>
                <w:sz w:val="18"/>
                <w:szCs w:val="18"/>
              </w:rPr>
              <w:t xml:space="preserve">    "head_mpesa_number": "+254700000000",</w:t>
            </w:r>
          </w:p>
          <w:p>
            <w:pPr>
              <w:spacing w:after="0" w:before="0"/>
            </w:pPr>
            <w:r>
              <w:rPr>
                <w:rFonts w:ascii="Courier New" w:cs="Courier New" w:eastAsia="Courier New" w:hAnsi="Courier New"/>
                <w:color w:val="E2E8F0"/>
                <w:sz w:val="18"/>
                <w:szCs w:val="18"/>
              </w:rPr>
              <w:t xml:space="preserve">    "insurance_company": "[Company Name]"</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Example: bulk import (test batch first)</w:t>
            </w:r>
          </w:p>
          <w:p>
            <w:pPr>
              <w:spacing w:after="0" w:before="0"/>
            </w:pPr>
            <w:r>
              <w:rPr>
                <w:rFonts w:ascii="Courier New" w:cs="Courier New" w:eastAsia="Courier New" w:hAnsi="Courier New"/>
                <w:color w:val="E2E8F0"/>
                <w:sz w:val="18"/>
                <w:szCs w:val="18"/>
              </w:rPr>
              <w:t xml:space="preserve">curl -X POST "https://api.elimuai.africa/api/admin/ch6/bulk-import?network_id=YOUR_ID" \</w:t>
            </w:r>
          </w:p>
          <w:p>
            <w:pPr>
              <w:spacing w:after="0" w:before="0"/>
            </w:pPr>
            <w:r>
              <w:rPr>
                <w:rFonts w:ascii="Courier New" w:cs="Courier New" w:eastAsia="Courier New" w:hAnsi="Courier New"/>
                <w:color w:val="E2E8F0"/>
                <w:sz w:val="18"/>
                <w:szCs w:val="18"/>
              </w:rPr>
              <w:t xml:space="preserve">  -F "file=@ch6_test_20_agents.csv"</w:t>
            </w:r>
          </w:p>
        </w:tc>
      </w:tr>
    </w:tbl>
    <w:p>
      <w:pPr>
        <w:spacing w:after="0" w:before="240"/>
      </w:pPr>
      <w:r>
        <w:rPr>
          <w:rFonts w:ascii="Arial" w:cs="Arial" w:eastAsia="Arial" w:hAnsi="Arial"/>
          <w:color w:val="111111"/>
          <w:sz w:val="22"/>
          <w:szCs w:val="22"/>
        </w:rPr>
        <w:t xml:space="preserve"/>
      </w:r>
    </w:p>
    <w:p>
      <w:pPr>
        <w:pBdr>
          <w:bottom w:val="single" w:color="0056A2" w:sz="6" w:space="6"/>
        </w:pBdr>
        <w:spacing w:after="140" w:before="360"/>
      </w:pPr>
      <w:r>
        <w:rPr>
          <w:rFonts w:ascii="Arial" w:cs="Arial" w:eastAsia="Arial" w:hAnsi="Arial"/>
          <w:b/>
          <w:bCs/>
          <w:color w:val="0056A2"/>
          <w:sz w:val="28"/>
          <w:szCs w:val="28"/>
        </w:rPr>
        <w:t xml:space="preserve">Step 5 — What Happens When Someone Leaves</w:t>
      </w:r>
    </w:p>
    <w:p>
      <w:pPr>
        <w:spacing w:after="80" w:before="80"/>
        <w:jc w:val="both"/>
      </w:pPr>
      <w:r>
        <w:rPr>
          <w:rFonts w:ascii="Arial" w:cs="Arial" w:eastAsia="Arial" w:hAnsi="Arial"/>
          <w:color w:val="444444"/>
          <w:sz w:val="22"/>
          <w:szCs w:val="22"/>
        </w:rPr>
        <w:t xml:space="preserve">This is the most important operational rule to communicate clearly to everyone in the network before launch — it prevents disputes later.</w:t>
      </w:r>
    </w:p>
    <w:p>
      <w:pPr>
        <w:spacing w:after="0" w:before="8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c>
          <w:tcPr>
            <w:tcW w:type="dxa" w:w="220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Who Leaves</w:t>
            </w:r>
          </w:p>
        </w:tc>
        <w:tc>
          <w:tcPr>
            <w:tcW w:type="dxa" w:w="336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Their Commission</w:t>
            </w:r>
          </w:p>
        </w:tc>
        <w:tc>
          <w:tcPr>
            <w:tcW w:type="dxa" w:w="380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Effect on Others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Agent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15% forfeited immediately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Manager's 8% and Network Head's 5% continue unaffected on that agent's families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11111"/>
                <w:sz w:val="19"/>
                <w:szCs w:val="19"/>
              </w:rPr>
              <w:t xml:space="preserve">Manager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8% override forfeited immediately</w:t>
            </w:r>
          </w:p>
        </w:tc>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Their agents continue earning 15% normally and can be reassigned to another manager; Network Head's 5% continues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Network Head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5% override forfeited immediately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All managers and agents continue earning normally; requires new coordination arrangement</w:t>
            </w:r>
          </w:p>
        </w:tc>
      </w:tr>
    </w:tbl>
    <w:p>
      <w:pPr>
        <w:spacing w:after="0" w:before="10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9A7400" w:sz="14"/>
              <w:bottom w:val="single" w:color="CCCCCC" w:sz="1"/>
              <w:right w:val="single" w:color="CCCCCC" w:sz="1"/>
            </w:tcBorders>
            <w:shd w:fill="FDF8E7" w:val="clear"/>
            <w:tcMar>
              <w:top w:type="dxa" w:w="110"/>
              <w:left w:type="dxa" w:w="220"/>
              <w:bottom w:type="dxa" w:w="110"/>
              <w:right w:type="dxa" w:w="200"/>
            </w:tcMar>
          </w:tcPr>
          <w:p>
            <w:r>
              <w:rPr>
                <w:rFonts w:ascii="Arial" w:cs="Arial" w:eastAsia="Arial" w:hAnsi="Arial"/>
                <w:i/>
                <w:iCs/>
                <w:color w:val="5A4500"/>
                <w:sz w:val="20"/>
                <w:szCs w:val="20"/>
              </w:rPr>
              <w:t xml:space="preserve">Forfeited percentages are NOT redistributed — they are retained by ElimuAI. This keeps the system simple: each tier's commission is calculated independently and only depends on that individual's own active status.</w:t>
            </w:r>
          </w:p>
        </w:tc>
      </w:tr>
    </w:tbl>
    <w:p>
      <w:pPr>
        <w:spacing w:after="0" w:before="240"/>
      </w:pPr>
      <w:r>
        <w:rPr>
          <w:rFonts w:ascii="Arial" w:cs="Arial" w:eastAsia="Arial" w:hAnsi="Arial"/>
          <w:color w:val="111111"/>
          <w:sz w:val="22"/>
          <w:szCs w:val="22"/>
        </w:rPr>
        <w:t xml:space="preserve"/>
      </w:r>
    </w:p>
    <w:p>
      <w:pPr>
        <w:pBdr>
          <w:bottom w:val="single" w:color="0056A2" w:sz="6" w:space="6"/>
        </w:pBdr>
        <w:spacing w:after="140" w:before="360"/>
      </w:pPr>
      <w:r>
        <w:rPr>
          <w:rFonts w:ascii="Arial" w:cs="Arial" w:eastAsia="Arial" w:hAnsi="Arial"/>
          <w:b/>
          <w:bCs/>
          <w:color w:val="0056A2"/>
          <w:sz w:val="28"/>
          <w:szCs w:val="28"/>
        </w:rPr>
        <w:t xml:space="preserve">Step 6 — Launch Checklist</w:t>
      </w:r>
    </w:p>
    <w:p>
      <w:pPr>
        <w:pStyle w:val="ListParagraph"/>
        <w:numPr>
          <w:ilvl w:val="0"/>
          <w:numId w:val="3"/>
        </w:numPr>
        <w:spacing w:after="40" w:before="40"/>
      </w:pPr>
      <w:r>
        <w:rPr>
          <w:rFonts w:ascii="Arial" w:cs="Arial" w:eastAsia="Arial" w:hAnsi="Arial"/>
          <w:color w:val="444444"/>
          <w:sz w:val="22"/>
          <w:szCs w:val="22"/>
        </w:rPr>
        <w:t xml:space="preserve">☐ Agreement option (A or B) chosen and reviewed by your friend</w:t>
      </w:r>
    </w:p>
    <w:p>
      <w:pPr>
        <w:pStyle w:val="ListParagraph"/>
        <w:numPr>
          <w:ilvl w:val="0"/>
          <w:numId w:val="3"/>
        </w:numPr>
        <w:spacing w:after="40" w:before="40"/>
      </w:pPr>
      <w:r>
        <w:rPr>
          <w:rFonts w:ascii="Arial" w:cs="Arial" w:eastAsia="Arial" w:hAnsi="Arial"/>
          <w:color w:val="444444"/>
          <w:sz w:val="22"/>
          <w:szCs w:val="22"/>
        </w:rPr>
        <w:t xml:space="preserve">☐ Agreement(s) signed by Network Head</w:t>
      </w:r>
    </w:p>
    <w:p>
      <w:pPr>
        <w:pStyle w:val="ListParagraph"/>
        <w:numPr>
          <w:ilvl w:val="0"/>
          <w:numId w:val="3"/>
        </w:numPr>
        <w:spacing w:after="40" w:before="40"/>
      </w:pPr>
      <w:r>
        <w:rPr>
          <w:rFonts w:ascii="Arial" w:cs="Arial" w:eastAsia="Arial" w:hAnsi="Arial"/>
          <w:color w:val="444444"/>
          <w:sz w:val="22"/>
          <w:szCs w:val="22"/>
        </w:rPr>
        <w:t xml:space="preserve">☐ 1,200-agent CSV received from insurance company in the correct format</w:t>
      </w:r>
    </w:p>
    <w:p>
      <w:pPr>
        <w:pStyle w:val="ListParagraph"/>
        <w:numPr>
          <w:ilvl w:val="0"/>
          <w:numId w:val="3"/>
        </w:numPr>
        <w:spacing w:after="40" w:before="40"/>
      </w:pPr>
      <w:r>
        <w:rPr>
          <w:rFonts w:ascii="Arial" w:cs="Arial" w:eastAsia="Arial" w:hAnsi="Arial"/>
          <w:color w:val="444444"/>
          <w:sz w:val="22"/>
          <w:szCs w:val="22"/>
        </w:rPr>
        <w:t xml:space="preserve">☐ Database migration run (004_ch6_migration.sql)</w:t>
      </w:r>
    </w:p>
    <w:p>
      <w:pPr>
        <w:pStyle w:val="ListParagraph"/>
        <w:numPr>
          <w:ilvl w:val="0"/>
          <w:numId w:val="3"/>
        </w:numPr>
        <w:spacing w:after="40" w:before="40"/>
      </w:pPr>
      <w:r>
        <w:rPr>
          <w:rFonts w:ascii="Arial" w:cs="Arial" w:eastAsia="Arial" w:hAnsi="Arial"/>
          <w:color w:val="444444"/>
          <w:sz w:val="22"/>
          <w:szCs w:val="22"/>
        </w:rPr>
        <w:t xml:space="preserve">☐ Network created via API — network_id saved</w:t>
      </w:r>
    </w:p>
    <w:p>
      <w:pPr>
        <w:pStyle w:val="ListParagraph"/>
        <w:numPr>
          <w:ilvl w:val="0"/>
          <w:numId w:val="3"/>
        </w:numPr>
        <w:spacing w:after="40" w:before="40"/>
      </w:pPr>
      <w:r>
        <w:rPr>
          <w:rFonts w:ascii="Arial" w:cs="Arial" w:eastAsia="Arial" w:hAnsi="Arial"/>
          <w:color w:val="444444"/>
          <w:sz w:val="22"/>
          <w:szCs w:val="22"/>
        </w:rPr>
        <w:t xml:space="preserve">☐ Test bulk import (10–20 rows) completed successfully</w:t>
      </w:r>
    </w:p>
    <w:p>
      <w:pPr>
        <w:pStyle w:val="ListParagraph"/>
        <w:numPr>
          <w:ilvl w:val="0"/>
          <w:numId w:val="3"/>
        </w:numPr>
        <w:spacing w:after="40" w:before="40"/>
      </w:pPr>
      <w:r>
        <w:rPr>
          <w:rFonts w:ascii="Arial" w:cs="Arial" w:eastAsia="Arial" w:hAnsi="Arial"/>
          <w:color w:val="444444"/>
          <w:sz w:val="22"/>
          <w:szCs w:val="22"/>
        </w:rPr>
        <w:t xml:space="preserve">☐ Full 1,200-row bulk import completed — errors reviewed and resolved</w:t>
      </w:r>
    </w:p>
    <w:p>
      <w:pPr>
        <w:pStyle w:val="ListParagraph"/>
        <w:numPr>
          <w:ilvl w:val="0"/>
          <w:numId w:val="3"/>
        </w:numPr>
        <w:spacing w:after="40" w:before="40"/>
      </w:pPr>
      <w:r>
        <w:rPr>
          <w:rFonts w:ascii="Arial" w:cs="Arial" w:eastAsia="Arial" w:hAnsi="Arial"/>
          <w:color w:val="444444"/>
          <w:sz w:val="22"/>
          <w:szCs w:val="22"/>
        </w:rPr>
        <w:t xml:space="preserve">☐ Each manager/agent can log in (phone + OTP) and see their referral code</w:t>
      </w:r>
    </w:p>
    <w:p>
      <w:pPr>
        <w:pStyle w:val="ListParagraph"/>
        <w:numPr>
          <w:ilvl w:val="0"/>
          <w:numId w:val="3"/>
        </w:numPr>
        <w:spacing w:after="40" w:before="40"/>
      </w:pPr>
      <w:r>
        <w:rPr>
          <w:rFonts w:ascii="Arial" w:cs="Arial" w:eastAsia="Arial" w:hAnsi="Arial"/>
          <w:color w:val="444444"/>
          <w:sz w:val="22"/>
          <w:szCs w:val="22"/>
        </w:rPr>
        <w:t xml:space="preserve">☐ Conversion processing hooked into recurring payment webhook</w:t>
      </w:r>
    </w:p>
    <w:p>
      <w:pPr>
        <w:pStyle w:val="ListParagraph"/>
        <w:numPr>
          <w:ilvl w:val="0"/>
          <w:numId w:val="3"/>
        </w:numPr>
        <w:spacing w:after="40" w:before="40"/>
      </w:pPr>
      <w:r>
        <w:rPr>
          <w:rFonts w:ascii="Arial" w:cs="Arial" w:eastAsia="Arial" w:hAnsi="Arial"/>
          <w:color w:val="444444"/>
          <w:sz w:val="22"/>
          <w:szCs w:val="22"/>
        </w:rPr>
        <w:t xml:space="preserve">☐ Network Head briefed on monthly reporting and forfeiture rules</w:t>
      </w:r>
    </w:p>
    <w:p>
      <w:pPr>
        <w:pStyle w:val="ListParagraph"/>
        <w:numPr>
          <w:ilvl w:val="0"/>
          <w:numId w:val="3"/>
        </w:numPr>
        <w:spacing w:after="40" w:before="40"/>
      </w:pPr>
      <w:r>
        <w:rPr>
          <w:rFonts w:ascii="Arial" w:cs="Arial" w:eastAsia="Arial" w:hAnsi="Arial"/>
          <w:color w:val="444444"/>
          <w:sz w:val="22"/>
          <w:szCs w:val="22"/>
        </w:rPr>
        <w:t xml:space="preserve">☐ First commission payout cycle tested end-to-end with a small number of real referrals</w:t>
      </w:r>
    </w:p>
    <w:p>
      <w:pPr>
        <w:spacing w:after="0" w:before="240"/>
      </w:pPr>
      <w:r>
        <w:rPr>
          <w:rFonts w:ascii="Arial" w:cs="Arial" w:eastAsia="Arial" w:hAnsi="Arial"/>
          <w:color w:val="111111"/>
          <w:sz w:val="22"/>
          <w:szCs w:val="22"/>
        </w:rPr>
        <w:t xml:space="preserve"/>
      </w:r>
    </w:p>
    <w:p>
      <w:pPr>
        <w:pBdr>
          <w:top w:val="single" w:color="CCCCCC" w:sz="4" w:space="8"/>
        </w:pBdr>
        <w:spacing w:after="60" w:before="200"/>
        <w:jc w:val="center"/>
      </w:pPr>
      <w:r>
        <w:rPr>
          <w:rFonts w:ascii="Arial" w:cs="Arial" w:eastAsia="Arial" w:hAnsi="Arial"/>
          <w:i/>
          <w:iCs/>
          <w:color w:val="999999"/>
          <w:sz w:val="17"/>
          <w:szCs w:val="17"/>
        </w:rPr>
        <w:t xml:space="preserve">ElimuAI  |  Venus Unzag Limited  |  CH6 Insurance Agent Network — Full Pack</w:t>
      </w:r>
    </w:p>
    <w:p>
      <w:pPr>
        <w:spacing w:after="60" w:before="0"/>
        <w:jc w:val="center"/>
      </w:pPr>
      <w:r>
        <w:rPr>
          <w:rFonts w:ascii="Arial" w:cs="Arial" w:eastAsia="Arial" w:hAnsi="Arial"/>
          <w:color w:val="0056A2"/>
          <w:sz w:val="17"/>
          <w:szCs w:val="17"/>
        </w:rPr>
        <w:t xml:space="preserve">support@elimuai.africa  |  +254 725 647 575  |  elimuai.africa</w:t>
      </w:r>
    </w:p>
    <w:p>
      <w:pPr>
        <w:jc w:val="center"/>
      </w:pPr>
      <w:r>
        <w:rPr>
          <w:rFonts w:ascii="Arial" w:cs="Arial" w:eastAsia="Arial" w:hAnsi="Arial"/>
          <w:color w:val="BBBBBB"/>
          <w:sz w:val="16"/>
          <w:szCs w:val="16"/>
        </w:rPr>
        <w:t xml:space="preserve">Confidential  |  April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2026-06-13T19:01:34.436Z</dcterms:created>
  <dcterms:modified xsi:type="dcterms:W3CDTF">2026-06-13T19:01:34.437Z</dcterms:modified>
</cp:coreProperties>
</file>

<file path=docProps/custom.xml><?xml version="1.0" encoding="utf-8"?>
<Properties xmlns="http://schemas.openxmlformats.org/officeDocument/2006/custom-properties" xmlns:vt="http://schemas.openxmlformats.org/officeDocument/2006/docPropsVTypes"/>
</file>