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B4AC3">
      <w:pPr>
        <w:jc w:val="center"/>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r>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t>Báo cáo học tập học kỳ I</w:t>
      </w:r>
    </w:p>
    <w:p w14:paraId="26D815E0">
      <w:pPr>
        <w:jc w:val="center"/>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82AF977">
      <w:pPr>
        <w:pStyle w:val="9"/>
        <w:keepNext w:val="0"/>
        <w:keepLines w:val="0"/>
        <w:widowControl/>
        <w:suppressLineNumbers w:val="0"/>
      </w:pPr>
      <w:r>
        <w:rPr>
          <w:rStyle w:val="10"/>
        </w:rPr>
        <w:t>Họ tên học viên</w:t>
      </w:r>
      <w:r>
        <w:t>: ......................................................</w:t>
      </w:r>
      <w:r>
        <w:br w:type="textWrapping"/>
      </w:r>
      <w:r>
        <w:rPr>
          <w:rStyle w:val="10"/>
        </w:rPr>
        <w:t>Lớp</w:t>
      </w:r>
      <w:r>
        <w:t>: ......................................................</w:t>
      </w:r>
      <w:r>
        <w:br w:type="textWrapping"/>
      </w:r>
      <w:r>
        <w:rPr>
          <w:rStyle w:val="10"/>
        </w:rPr>
        <w:t>Ngày tháng</w:t>
      </w:r>
      <w:r>
        <w:t>: ......................................................</w:t>
      </w:r>
    </w:p>
    <w:p w14:paraId="783F670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2777907">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0D431C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57E243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2B4684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7240D85">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E7C4FF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F6AC197">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2A6D282">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4E4B512">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43FD66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1861AF2">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63B436B">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E779E5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19C2127">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5404BB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C81AA3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68D74D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6347705">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0418A9D">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C3C4B2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161C751">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07ED0D0">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AB32EF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CE8F116">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B9C156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9462359">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85E070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1CC740E">
      <w:pPr>
        <w:pStyle w:val="2"/>
        <w:bidi w:val="0"/>
        <w:outlineLvl w:val="9"/>
        <w:sectPr>
          <w:headerReference r:id="rId3" w:type="default"/>
          <w:pgSz w:w="11906" w:h="16838"/>
          <w:pgMar w:top="1440" w:right="1800" w:bottom="1440" w:left="1800" w:header="720" w:footer="720" w:gutter="0"/>
          <w:pgNumType w:fmt="decimal"/>
          <w:cols w:space="720" w:num="1"/>
          <w:docGrid w:linePitch="360" w:charSpace="0"/>
        </w:sectPr>
      </w:pPr>
    </w:p>
    <w:sdt>
      <w:sdtPr>
        <w:rPr>
          <w:rFonts w:hint="default" w:ascii="Times New Roman" w:hAnsi="Times New Roman" w:eastAsia="SimSun" w:cs="Times New Roman"/>
          <w:sz w:val="21"/>
          <w:lang w:val="en-US" w:eastAsia="zh-CN" w:bidi="ar-SA"/>
        </w:rPr>
        <w:id w:val="147456301"/>
        <w15:color w:val="DBDBDB"/>
        <w:docPartObj>
          <w:docPartGallery w:val="Table of Contents"/>
          <w:docPartUnique/>
        </w:docPartObj>
      </w:sdtPr>
      <w:sdtEndPr>
        <w:rPr>
          <w:rFonts w:asciiTheme="minorHAnsi" w:hAnsiTheme="minorHAnsi" w:eastAsiaTheme="minorEastAsia" w:cstheme="minorBidi"/>
          <w:b/>
          <w:bCs/>
          <w:kern w:val="44"/>
          <w:sz w:val="44"/>
          <w:szCs w:val="44"/>
          <w:lang w:val="en-US" w:eastAsia="zh-CN" w:bidi="ar-SA"/>
        </w:rPr>
      </w:sdtEndPr>
      <w:sdtContent>
        <w:p w14:paraId="602F458C">
          <w:pPr>
            <w:spacing w:before="0" w:beforeLines="0" w:after="0" w:afterLines="0" w:line="240" w:lineRule="auto"/>
            <w:ind w:left="0" w:leftChars="0" w:right="0" w:rightChars="0" w:firstLine="0" w:firstLineChars="0"/>
            <w:jc w:val="center"/>
            <w:rPr>
              <w:rFonts w:hint="default" w:ascii="Times New Roman" w:hAnsi="Times New Roman" w:cs="Times New Roman"/>
              <w:lang w:val="vi-VN"/>
            </w:rPr>
          </w:pPr>
          <w:r>
            <w:rPr>
              <w:rFonts w:hint="default" w:ascii="Times New Roman" w:hAnsi="Times New Roman" w:eastAsia="SimSun" w:cs="Times New Roman"/>
              <w:sz w:val="21"/>
              <w:lang w:val="vi-VN" w:eastAsia="zh-CN" w:bidi="ar-SA"/>
            </w:rPr>
            <w:t>Mục lục</w:t>
          </w:r>
        </w:p>
        <w:p w14:paraId="2D9F6675">
          <w:pPr>
            <w:pStyle w:val="12"/>
            <w:tabs>
              <w:tab w:val="right" w:leader="dot" w:pos="8306"/>
            </w:tabs>
          </w:pPr>
          <w:r>
            <w:fldChar w:fldCharType="begin"/>
          </w:r>
          <w:r>
            <w:instrText xml:space="preserve">TOC \o "1-1" \h \u </w:instrText>
          </w:r>
          <w:r>
            <w:fldChar w:fldCharType="separate"/>
          </w:r>
          <w:r>
            <w:fldChar w:fldCharType="begin"/>
          </w:r>
          <w:r>
            <w:instrText xml:space="preserve"> HYPERLINK \l _Toc29902 </w:instrText>
          </w:r>
          <w:r>
            <w:fldChar w:fldCharType="separate"/>
          </w:r>
          <w:r>
            <w:t>Phần 1: Giới thiệu chung</w:t>
          </w:r>
          <w:r>
            <w:tab/>
          </w:r>
          <w:r>
            <w:fldChar w:fldCharType="begin"/>
          </w:r>
          <w:r>
            <w:instrText xml:space="preserve"> PAGEREF _Toc29902 \h </w:instrText>
          </w:r>
          <w:r>
            <w:fldChar w:fldCharType="separate"/>
          </w:r>
          <w:r>
            <w:t>1</w:t>
          </w:r>
          <w:r>
            <w:fldChar w:fldCharType="end"/>
          </w:r>
          <w:r>
            <w:fldChar w:fldCharType="end"/>
          </w:r>
        </w:p>
        <w:p w14:paraId="735108DD">
          <w:pPr>
            <w:pStyle w:val="12"/>
            <w:tabs>
              <w:tab w:val="right" w:leader="dot" w:pos="8306"/>
            </w:tabs>
          </w:pPr>
          <w:r>
            <w:fldChar w:fldCharType="begin"/>
          </w:r>
          <w:r>
            <w:instrText xml:space="preserve"> HYPERLINK \l _Toc1912 </w:instrText>
          </w:r>
          <w:r>
            <w:fldChar w:fldCharType="separate"/>
          </w:r>
          <w:r>
            <w:t xml:space="preserve">Phần 2: </w:t>
          </w:r>
          <w:r>
            <w:rPr>
              <w:rFonts w:hint="default"/>
              <w:lang w:val="vi-VN"/>
            </w:rPr>
            <w:t>K</w:t>
          </w:r>
          <w:r>
            <w:t>ết quả học tập</w:t>
          </w:r>
          <w:r>
            <w:tab/>
          </w:r>
          <w:r>
            <w:fldChar w:fldCharType="begin"/>
          </w:r>
          <w:r>
            <w:instrText xml:space="preserve"> PAGEREF _Toc1912 \h </w:instrText>
          </w:r>
          <w:r>
            <w:fldChar w:fldCharType="separate"/>
          </w:r>
          <w:r>
            <w:t>2</w:t>
          </w:r>
          <w:r>
            <w:fldChar w:fldCharType="end"/>
          </w:r>
          <w:r>
            <w:fldChar w:fldCharType="end"/>
          </w:r>
        </w:p>
        <w:p w14:paraId="62568868">
          <w:pPr>
            <w:pStyle w:val="12"/>
            <w:tabs>
              <w:tab w:val="right" w:leader="dot" w:pos="8306"/>
            </w:tabs>
          </w:pPr>
          <w:r>
            <w:fldChar w:fldCharType="begin"/>
          </w:r>
          <w:r>
            <w:instrText xml:space="preserve"> HYPERLINK \l _Toc22874 </w:instrText>
          </w:r>
          <w:r>
            <w:fldChar w:fldCharType="separate"/>
          </w:r>
          <w:r>
            <w:t>Phần 3: Phân tích và nhận xét</w:t>
          </w:r>
          <w:r>
            <w:tab/>
          </w:r>
          <w:r>
            <w:fldChar w:fldCharType="begin"/>
          </w:r>
          <w:r>
            <w:instrText xml:space="preserve"> PAGEREF _Toc22874 \h </w:instrText>
          </w:r>
          <w:r>
            <w:fldChar w:fldCharType="separate"/>
          </w:r>
          <w:r>
            <w:t>3</w:t>
          </w:r>
          <w:r>
            <w:fldChar w:fldCharType="end"/>
          </w:r>
          <w:r>
            <w:fldChar w:fldCharType="end"/>
          </w:r>
        </w:p>
        <w:p w14:paraId="1A995970">
          <w:pPr>
            <w:pStyle w:val="2"/>
            <w:bidi w:val="0"/>
            <w:outlineLvl w:val="9"/>
          </w:pPr>
          <w:r>
            <w:fldChar w:fldCharType="end"/>
          </w:r>
        </w:p>
      </w:sdtContent>
    </w:sdt>
    <w:p w14:paraId="64AE8F0E">
      <w:pPr>
        <w:pStyle w:val="2"/>
        <w:bidi w:val="0"/>
      </w:pPr>
      <w:bookmarkStart w:id="0" w:name="_Toc29902"/>
      <w:r>
        <w:t>Phần 1: Giới thiệu chung</w:t>
      </w:r>
      <w:bookmarkEnd w:id="0"/>
    </w:p>
    <w:p w14:paraId="0E328CEE">
      <w:pPr>
        <w:pStyle w:val="9"/>
        <w:keepNext w:val="0"/>
        <w:keepLines w:val="0"/>
        <w:widowControl/>
        <w:suppressLineNumbers w:val="0"/>
        <w:rPr>
          <w:sz w:val="28"/>
          <w:szCs w:val="28"/>
        </w:rPr>
      </w:pPr>
      <w:r>
        <w:rPr>
          <w:sz w:val="28"/>
          <w:szCs w:val="28"/>
        </w:rPr>
        <w:t>Trong học kỳ I, quá trình học tập đã mang lại cho em nhiều kiến thức bổ ích và kinh nghiệm quý báu. Các môn học được tổ chức một cách khoa học, từ lý thuyết đến thực hành, giúp em không chỉ nắm vững nền tảng kiến thức cơ bản mà còn rèn luyện kỹ năng tư duy, phân tích và làm việc nhóm. Bên cạnh đó, sự hỗ trợ từ thầy cô và bạn bè trong lớp đã góp phần tạo nên một môi trường học tập tích cực, khuyến khích tinh thần sáng tạo và trách nhiệm. Qua quá trình học tập, em đã học cách quản lý thời gian, xây dựng kế hoạch học tập cá nhân và ứng dụng công nghệ để nâng cao hiệu quả học tập. Đây là những trải nghiệm quan trọng, góp phần giúp em ngày càng tiến bộ và trưởng thành hơn trong học tập cũng như trong cuộc sống.</w:t>
      </w:r>
    </w:p>
    <w:p w14:paraId="5B66E20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18E67E9">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2A1AC3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DA09DB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0C2197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50A8BA9">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479E26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B7E2F5E">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6D13C5B">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96BC77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84A00D2">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82C91B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9342E3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9A5D7C3">
      <w:pPr>
        <w:pStyle w:val="2"/>
        <w:bidi w:val="0"/>
      </w:pPr>
      <w:bookmarkStart w:id="1" w:name="_Toc1912"/>
      <w:r>
        <w:t xml:space="preserve">Phần 2: </w:t>
      </w:r>
      <w:r>
        <w:rPr>
          <w:rFonts w:hint="default"/>
          <w:lang w:val="vi-VN"/>
        </w:rPr>
        <w:t>K</w:t>
      </w:r>
      <w:r>
        <w:t>ết quả học tập</w:t>
      </w:r>
      <w:bookmarkEnd w:id="1"/>
    </w:p>
    <w:p w14:paraId="063930FC">
      <w:pPr>
        <w:pStyle w:val="9"/>
        <w:keepNext w:val="0"/>
        <w:keepLines w:val="0"/>
        <w:widowControl/>
        <w:suppressLineNumbers w:val="0"/>
        <w:rPr>
          <w:sz w:val="28"/>
          <w:szCs w:val="28"/>
        </w:rPr>
      </w:pPr>
      <w:r>
        <w:rPr>
          <w:sz w:val="28"/>
          <w:szCs w:val="28"/>
        </w:rPr>
        <w:t>Bảng đi</w:t>
      </w:r>
      <w:bookmarkStart w:id="3" w:name="_GoBack"/>
      <w:r>
        <w:rPr>
          <w:sz w:val="28"/>
          <w:szCs w:val="28"/>
        </w:rPr>
        <w:t>ểm một số môn học tron</w:t>
      </w:r>
      <w:bookmarkEnd w:id="3"/>
      <w:r>
        <w:rPr>
          <w:sz w:val="28"/>
          <w:szCs w:val="28"/>
        </w:rPr>
        <w:t>g học kỳ 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965"/>
        <w:gridCol w:w="1445"/>
      </w:tblGrid>
      <w:tr w14:paraId="590D7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9" w:hRule="atLeast"/>
        </w:trPr>
        <w:tc>
          <w:tcPr>
            <w:tcW w:w="1704" w:type="dxa"/>
          </w:tcPr>
          <w:p w14:paraId="51CCA119">
            <w:pPr>
              <w:pStyle w:val="9"/>
              <w:keepNext w:val="0"/>
              <w:keepLines w:val="0"/>
              <w:widowControl/>
              <w:suppressLineNumbers w:val="0"/>
              <w:rPr>
                <w:vertAlign w:val="baseline"/>
              </w:rPr>
            </w:pPr>
            <w:r>
              <w:rPr>
                <w:rFonts w:hint="default"/>
                <w:vertAlign w:val="baseline"/>
              </w:rPr>
              <w:t>Môn học</w:t>
            </w:r>
          </w:p>
        </w:tc>
        <w:tc>
          <w:tcPr>
            <w:tcW w:w="1704" w:type="dxa"/>
          </w:tcPr>
          <w:p w14:paraId="131A6C8F">
            <w:pPr>
              <w:pStyle w:val="9"/>
              <w:keepNext w:val="0"/>
              <w:keepLines w:val="0"/>
              <w:widowControl/>
              <w:suppressLineNumbers w:val="0"/>
              <w:rPr>
                <w:vertAlign w:val="baseline"/>
              </w:rPr>
            </w:pPr>
            <w:r>
              <w:rPr>
                <w:rFonts w:hint="default"/>
                <w:vertAlign w:val="baseline"/>
              </w:rPr>
              <w:t>Điểm giữa kỳ</w:t>
            </w:r>
          </w:p>
        </w:tc>
        <w:tc>
          <w:tcPr>
            <w:tcW w:w="1704" w:type="dxa"/>
          </w:tcPr>
          <w:p w14:paraId="0FBD5064">
            <w:pPr>
              <w:pStyle w:val="9"/>
              <w:keepNext w:val="0"/>
              <w:keepLines w:val="0"/>
              <w:widowControl/>
              <w:suppressLineNumbers w:val="0"/>
              <w:rPr>
                <w:vertAlign w:val="baseline"/>
              </w:rPr>
            </w:pPr>
            <w:r>
              <w:rPr>
                <w:rFonts w:hint="default"/>
                <w:vertAlign w:val="baseline"/>
              </w:rPr>
              <w:t>Điểm cuối kỳ</w:t>
            </w:r>
          </w:p>
        </w:tc>
        <w:tc>
          <w:tcPr>
            <w:tcW w:w="1965" w:type="dxa"/>
          </w:tcPr>
          <w:p w14:paraId="2C9A8898">
            <w:pPr>
              <w:pStyle w:val="9"/>
              <w:keepNext w:val="0"/>
              <w:keepLines w:val="0"/>
              <w:widowControl/>
              <w:suppressLineNumbers w:val="0"/>
              <w:rPr>
                <w:rFonts w:hint="default"/>
                <w:vertAlign w:val="baseline"/>
                <w:lang w:val="vi-VN"/>
              </w:rPr>
            </w:pPr>
            <w:r>
              <w:rPr>
                <w:rFonts w:hint="default"/>
                <w:vertAlign w:val="baseline"/>
                <w:lang w:val="vi-VN"/>
              </w:rPr>
              <w:t>Điểm trung bình</w:t>
            </w:r>
          </w:p>
        </w:tc>
        <w:tc>
          <w:tcPr>
            <w:tcW w:w="1445" w:type="dxa"/>
          </w:tcPr>
          <w:p w14:paraId="3BC9CC84">
            <w:pPr>
              <w:pStyle w:val="9"/>
              <w:keepNext w:val="0"/>
              <w:keepLines w:val="0"/>
              <w:widowControl/>
              <w:suppressLineNumbers w:val="0"/>
              <w:rPr>
                <w:rFonts w:hint="default"/>
                <w:vertAlign w:val="baseline"/>
                <w:lang w:val="vi-VN"/>
              </w:rPr>
            </w:pPr>
            <w:r>
              <w:rPr>
                <w:rFonts w:hint="default"/>
                <w:vertAlign w:val="baseline"/>
                <w:lang w:val="vi-VN"/>
              </w:rPr>
              <w:t>Nhận xét</w:t>
            </w:r>
          </w:p>
        </w:tc>
      </w:tr>
      <w:tr w14:paraId="45FF0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DF519C5">
            <w:pPr>
              <w:pStyle w:val="9"/>
              <w:keepNext w:val="0"/>
              <w:keepLines w:val="0"/>
              <w:widowControl/>
              <w:suppressLineNumbers w:val="0"/>
              <w:rPr>
                <w:rFonts w:hint="default"/>
                <w:vertAlign w:val="baseline"/>
                <w:lang w:val="vi-VN"/>
              </w:rPr>
            </w:pPr>
            <w:r>
              <w:rPr>
                <w:rFonts w:hint="default"/>
                <w:vertAlign w:val="baseline"/>
                <w:lang w:val="vi-VN"/>
              </w:rPr>
              <w:t>Toán</w:t>
            </w:r>
          </w:p>
        </w:tc>
        <w:tc>
          <w:tcPr>
            <w:tcW w:w="1704" w:type="dxa"/>
          </w:tcPr>
          <w:p w14:paraId="19833A29">
            <w:pPr>
              <w:pStyle w:val="9"/>
              <w:keepNext w:val="0"/>
              <w:keepLines w:val="0"/>
              <w:widowControl/>
              <w:suppressLineNumbers w:val="0"/>
              <w:rPr>
                <w:rFonts w:hint="default"/>
                <w:vertAlign w:val="baseline"/>
                <w:lang w:val="vi-VN"/>
              </w:rPr>
            </w:pPr>
            <w:r>
              <w:rPr>
                <w:rFonts w:hint="default"/>
                <w:vertAlign w:val="baseline"/>
                <w:lang w:val="vi-VN"/>
              </w:rPr>
              <w:t>8.0</w:t>
            </w:r>
          </w:p>
        </w:tc>
        <w:tc>
          <w:tcPr>
            <w:tcW w:w="1704" w:type="dxa"/>
          </w:tcPr>
          <w:p w14:paraId="6DDE7652">
            <w:pPr>
              <w:pStyle w:val="9"/>
              <w:keepNext w:val="0"/>
              <w:keepLines w:val="0"/>
              <w:widowControl/>
              <w:suppressLineNumbers w:val="0"/>
              <w:rPr>
                <w:rFonts w:hint="default"/>
                <w:vertAlign w:val="baseline"/>
                <w:lang w:val="vi-VN"/>
              </w:rPr>
            </w:pPr>
            <w:r>
              <w:rPr>
                <w:rFonts w:hint="default"/>
                <w:vertAlign w:val="baseline"/>
                <w:lang w:val="vi-VN"/>
              </w:rPr>
              <w:t>8.5</w:t>
            </w:r>
          </w:p>
        </w:tc>
        <w:tc>
          <w:tcPr>
            <w:tcW w:w="1965" w:type="dxa"/>
          </w:tcPr>
          <w:p w14:paraId="77720CF8">
            <w:pPr>
              <w:pStyle w:val="9"/>
              <w:keepNext w:val="0"/>
              <w:keepLines w:val="0"/>
              <w:widowControl/>
              <w:suppressLineNumbers w:val="0"/>
              <w:rPr>
                <w:rFonts w:hint="default"/>
                <w:vertAlign w:val="baseline"/>
                <w:lang w:val="vi-VN"/>
              </w:rPr>
            </w:pPr>
            <w:r>
              <w:rPr>
                <w:rFonts w:hint="default"/>
                <w:vertAlign w:val="baseline"/>
                <w:lang w:val="vi-VN"/>
              </w:rPr>
              <w:t>8.3</w:t>
            </w:r>
          </w:p>
        </w:tc>
        <w:tc>
          <w:tcPr>
            <w:tcW w:w="1445" w:type="dxa"/>
          </w:tcPr>
          <w:p w14:paraId="15D527F1">
            <w:pPr>
              <w:pStyle w:val="9"/>
              <w:keepNext w:val="0"/>
              <w:keepLines w:val="0"/>
              <w:widowControl/>
              <w:suppressLineNumbers w:val="0"/>
              <w:rPr>
                <w:rFonts w:hint="default"/>
                <w:vertAlign w:val="baseline"/>
                <w:lang w:val="vi-VN"/>
              </w:rPr>
            </w:pPr>
            <w:r>
              <w:rPr>
                <w:rFonts w:hint="default"/>
                <w:vertAlign w:val="baseline"/>
                <w:lang w:val="vi-VN"/>
              </w:rPr>
              <w:t>Tốt</w:t>
            </w:r>
          </w:p>
        </w:tc>
      </w:tr>
      <w:tr w14:paraId="24F62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2EB3F45F">
            <w:pPr>
              <w:pStyle w:val="9"/>
              <w:keepNext w:val="0"/>
              <w:keepLines w:val="0"/>
              <w:widowControl/>
              <w:suppressLineNumbers w:val="0"/>
              <w:rPr>
                <w:rFonts w:hint="default"/>
                <w:vertAlign w:val="baseline"/>
                <w:lang w:val="vi-VN"/>
              </w:rPr>
            </w:pPr>
            <w:r>
              <w:rPr>
                <w:rFonts w:hint="default"/>
                <w:vertAlign w:val="baseline"/>
                <w:lang w:val="vi-VN"/>
              </w:rPr>
              <w:t>Văn</w:t>
            </w:r>
          </w:p>
        </w:tc>
        <w:tc>
          <w:tcPr>
            <w:tcW w:w="1704" w:type="dxa"/>
          </w:tcPr>
          <w:p w14:paraId="5C605F1D">
            <w:pPr>
              <w:pStyle w:val="9"/>
              <w:keepNext w:val="0"/>
              <w:keepLines w:val="0"/>
              <w:widowControl/>
              <w:suppressLineNumbers w:val="0"/>
              <w:rPr>
                <w:rFonts w:hint="default"/>
                <w:vertAlign w:val="baseline"/>
                <w:lang w:val="vi-VN"/>
              </w:rPr>
            </w:pPr>
            <w:r>
              <w:rPr>
                <w:rFonts w:hint="default"/>
                <w:vertAlign w:val="baseline"/>
                <w:lang w:val="vi-VN"/>
              </w:rPr>
              <w:t>7.5</w:t>
            </w:r>
          </w:p>
        </w:tc>
        <w:tc>
          <w:tcPr>
            <w:tcW w:w="1704" w:type="dxa"/>
          </w:tcPr>
          <w:p w14:paraId="274ED812">
            <w:pPr>
              <w:pStyle w:val="9"/>
              <w:keepNext w:val="0"/>
              <w:keepLines w:val="0"/>
              <w:widowControl/>
              <w:suppressLineNumbers w:val="0"/>
              <w:rPr>
                <w:rFonts w:hint="default"/>
                <w:vertAlign w:val="baseline"/>
                <w:lang w:val="vi-VN"/>
              </w:rPr>
            </w:pPr>
            <w:r>
              <w:rPr>
                <w:rFonts w:hint="default"/>
                <w:vertAlign w:val="baseline"/>
                <w:lang w:val="vi-VN"/>
              </w:rPr>
              <w:t>8.0</w:t>
            </w:r>
          </w:p>
        </w:tc>
        <w:tc>
          <w:tcPr>
            <w:tcW w:w="1965" w:type="dxa"/>
          </w:tcPr>
          <w:p w14:paraId="120236FE">
            <w:pPr>
              <w:pStyle w:val="9"/>
              <w:keepNext w:val="0"/>
              <w:keepLines w:val="0"/>
              <w:widowControl/>
              <w:suppressLineNumbers w:val="0"/>
              <w:rPr>
                <w:rFonts w:hint="default"/>
                <w:vertAlign w:val="baseline"/>
                <w:lang w:val="vi-VN"/>
              </w:rPr>
            </w:pPr>
            <w:r>
              <w:rPr>
                <w:rFonts w:hint="default"/>
                <w:vertAlign w:val="baseline"/>
                <w:lang w:val="vi-VN"/>
              </w:rPr>
              <w:t>7.8</w:t>
            </w:r>
          </w:p>
        </w:tc>
        <w:tc>
          <w:tcPr>
            <w:tcW w:w="1445" w:type="dxa"/>
          </w:tcPr>
          <w:p w14:paraId="4A49BD06">
            <w:pPr>
              <w:pStyle w:val="9"/>
              <w:keepNext w:val="0"/>
              <w:keepLines w:val="0"/>
              <w:widowControl/>
              <w:suppressLineNumbers w:val="0"/>
              <w:rPr>
                <w:rFonts w:hint="default"/>
                <w:vertAlign w:val="baseline"/>
                <w:lang w:val="vi-VN"/>
              </w:rPr>
            </w:pPr>
            <w:r>
              <w:rPr>
                <w:rFonts w:hint="default"/>
                <w:vertAlign w:val="baseline"/>
                <w:lang w:val="vi-VN"/>
              </w:rPr>
              <w:t>Khá</w:t>
            </w:r>
          </w:p>
        </w:tc>
      </w:tr>
      <w:tr w14:paraId="58C91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D3FE322">
            <w:pPr>
              <w:pStyle w:val="9"/>
              <w:keepNext w:val="0"/>
              <w:keepLines w:val="0"/>
              <w:widowControl/>
              <w:suppressLineNumbers w:val="0"/>
              <w:rPr>
                <w:rFonts w:hint="default"/>
                <w:vertAlign w:val="baseline"/>
                <w:lang w:val="vi-VN"/>
              </w:rPr>
            </w:pPr>
            <w:r>
              <w:rPr>
                <w:rFonts w:hint="default"/>
                <w:vertAlign w:val="baseline"/>
                <w:lang w:val="vi-VN"/>
              </w:rPr>
              <w:t>Tiếng Anh</w:t>
            </w:r>
          </w:p>
        </w:tc>
        <w:tc>
          <w:tcPr>
            <w:tcW w:w="1704" w:type="dxa"/>
          </w:tcPr>
          <w:p w14:paraId="2ADC550D">
            <w:pPr>
              <w:pStyle w:val="9"/>
              <w:keepNext w:val="0"/>
              <w:keepLines w:val="0"/>
              <w:widowControl/>
              <w:suppressLineNumbers w:val="0"/>
              <w:rPr>
                <w:rFonts w:hint="default"/>
                <w:vertAlign w:val="baseline"/>
                <w:lang w:val="vi-VN"/>
              </w:rPr>
            </w:pPr>
            <w:r>
              <w:rPr>
                <w:rFonts w:hint="default"/>
                <w:vertAlign w:val="baseline"/>
                <w:lang w:val="vi-VN"/>
              </w:rPr>
              <w:t>8.5</w:t>
            </w:r>
          </w:p>
        </w:tc>
        <w:tc>
          <w:tcPr>
            <w:tcW w:w="1704" w:type="dxa"/>
          </w:tcPr>
          <w:p w14:paraId="0FF459C1">
            <w:pPr>
              <w:pStyle w:val="9"/>
              <w:keepNext w:val="0"/>
              <w:keepLines w:val="0"/>
              <w:widowControl/>
              <w:suppressLineNumbers w:val="0"/>
              <w:rPr>
                <w:rFonts w:hint="default"/>
                <w:vertAlign w:val="baseline"/>
                <w:lang w:val="vi-VN"/>
              </w:rPr>
            </w:pPr>
            <w:r>
              <w:rPr>
                <w:rFonts w:hint="default"/>
                <w:vertAlign w:val="baseline"/>
                <w:lang w:val="vi-VN"/>
              </w:rPr>
              <w:t>9.0</w:t>
            </w:r>
          </w:p>
        </w:tc>
        <w:tc>
          <w:tcPr>
            <w:tcW w:w="1965" w:type="dxa"/>
          </w:tcPr>
          <w:p w14:paraId="200D5A55">
            <w:pPr>
              <w:pStyle w:val="9"/>
              <w:keepNext w:val="0"/>
              <w:keepLines w:val="0"/>
              <w:widowControl/>
              <w:suppressLineNumbers w:val="0"/>
              <w:rPr>
                <w:rFonts w:hint="default"/>
                <w:vertAlign w:val="baseline"/>
                <w:lang w:val="vi-VN"/>
              </w:rPr>
            </w:pPr>
            <w:r>
              <w:rPr>
                <w:rFonts w:hint="default"/>
                <w:vertAlign w:val="baseline"/>
                <w:lang w:val="vi-VN"/>
              </w:rPr>
              <w:t>8.8</w:t>
            </w:r>
          </w:p>
        </w:tc>
        <w:tc>
          <w:tcPr>
            <w:tcW w:w="1445" w:type="dxa"/>
          </w:tcPr>
          <w:p w14:paraId="0F0EE5D6">
            <w:pPr>
              <w:pStyle w:val="9"/>
              <w:keepNext w:val="0"/>
              <w:keepLines w:val="0"/>
              <w:widowControl/>
              <w:suppressLineNumbers w:val="0"/>
              <w:rPr>
                <w:rFonts w:hint="default"/>
                <w:vertAlign w:val="baseline"/>
                <w:lang w:val="vi-VN"/>
              </w:rPr>
            </w:pPr>
            <w:r>
              <w:rPr>
                <w:rFonts w:hint="default"/>
                <w:vertAlign w:val="baseline"/>
                <w:lang w:val="vi-VN"/>
              </w:rPr>
              <w:t>Tốt</w:t>
            </w:r>
          </w:p>
        </w:tc>
      </w:tr>
      <w:tr w14:paraId="21B97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DF72205">
            <w:pPr>
              <w:pStyle w:val="9"/>
              <w:keepNext w:val="0"/>
              <w:keepLines w:val="0"/>
              <w:widowControl/>
              <w:suppressLineNumbers w:val="0"/>
              <w:rPr>
                <w:rFonts w:hint="default"/>
                <w:vertAlign w:val="baseline"/>
                <w:lang w:val="vi-VN"/>
              </w:rPr>
            </w:pPr>
            <w:r>
              <w:rPr>
                <w:rFonts w:hint="default"/>
                <w:vertAlign w:val="baseline"/>
                <w:lang w:val="vi-VN"/>
              </w:rPr>
              <w:t>Tin</w:t>
            </w:r>
          </w:p>
        </w:tc>
        <w:tc>
          <w:tcPr>
            <w:tcW w:w="1704" w:type="dxa"/>
          </w:tcPr>
          <w:p w14:paraId="6771B09A">
            <w:pPr>
              <w:pStyle w:val="9"/>
              <w:keepNext w:val="0"/>
              <w:keepLines w:val="0"/>
              <w:widowControl/>
              <w:suppressLineNumbers w:val="0"/>
              <w:rPr>
                <w:rFonts w:hint="default"/>
                <w:vertAlign w:val="baseline"/>
                <w:lang w:val="vi-VN"/>
              </w:rPr>
            </w:pPr>
            <w:r>
              <w:rPr>
                <w:rFonts w:hint="default"/>
                <w:vertAlign w:val="baseline"/>
                <w:lang w:val="vi-VN"/>
              </w:rPr>
              <w:t>9.0</w:t>
            </w:r>
          </w:p>
        </w:tc>
        <w:tc>
          <w:tcPr>
            <w:tcW w:w="1704" w:type="dxa"/>
          </w:tcPr>
          <w:p w14:paraId="13B763AD">
            <w:pPr>
              <w:pStyle w:val="9"/>
              <w:keepNext w:val="0"/>
              <w:keepLines w:val="0"/>
              <w:widowControl/>
              <w:suppressLineNumbers w:val="0"/>
              <w:rPr>
                <w:rFonts w:hint="default"/>
                <w:vertAlign w:val="baseline"/>
                <w:lang w:val="vi-VN"/>
              </w:rPr>
            </w:pPr>
            <w:r>
              <w:rPr>
                <w:rFonts w:hint="default"/>
                <w:vertAlign w:val="baseline"/>
                <w:lang w:val="vi-VN"/>
              </w:rPr>
              <w:t>9.5</w:t>
            </w:r>
          </w:p>
        </w:tc>
        <w:tc>
          <w:tcPr>
            <w:tcW w:w="1965" w:type="dxa"/>
          </w:tcPr>
          <w:p w14:paraId="7CA8BCAE">
            <w:pPr>
              <w:pStyle w:val="9"/>
              <w:keepNext w:val="0"/>
              <w:keepLines w:val="0"/>
              <w:widowControl/>
              <w:suppressLineNumbers w:val="0"/>
              <w:rPr>
                <w:rFonts w:hint="default"/>
                <w:vertAlign w:val="baseline"/>
                <w:lang w:val="vi-VN"/>
              </w:rPr>
            </w:pPr>
            <w:r>
              <w:rPr>
                <w:rFonts w:hint="default"/>
                <w:vertAlign w:val="baseline"/>
                <w:lang w:val="vi-VN"/>
              </w:rPr>
              <w:t>9.3</w:t>
            </w:r>
          </w:p>
        </w:tc>
        <w:tc>
          <w:tcPr>
            <w:tcW w:w="1445" w:type="dxa"/>
          </w:tcPr>
          <w:p w14:paraId="58CCDD27">
            <w:pPr>
              <w:pStyle w:val="9"/>
              <w:keepNext w:val="0"/>
              <w:keepLines w:val="0"/>
              <w:widowControl/>
              <w:suppressLineNumbers w:val="0"/>
              <w:rPr>
                <w:rFonts w:hint="default"/>
                <w:vertAlign w:val="baseline"/>
                <w:lang w:val="vi-VN"/>
              </w:rPr>
            </w:pPr>
            <w:r>
              <w:rPr>
                <w:rFonts w:hint="default"/>
                <w:vertAlign w:val="baseline"/>
                <w:lang w:val="vi-VN"/>
              </w:rPr>
              <w:t>Xuất sắc</w:t>
            </w:r>
          </w:p>
        </w:tc>
      </w:tr>
    </w:tbl>
    <w:p w14:paraId="0D0408B3">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645B84D">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30DB3C4">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E5F97DA">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3649CF0">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3FE515D">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065468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A468FC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F10B6E3">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2AB6C80">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FA1EF0D">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311203F">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993012B">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6CBB51F3">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08BA960">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7045BBE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5A8B73CE">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2B2BB78">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E426926">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4F9917E9">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034CD594">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6D23372">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279540BE">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4808D16">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145E9A91">
      <w:pPr>
        <w:pStyle w:val="2"/>
        <w:bidi w:val="0"/>
      </w:pPr>
      <w:bookmarkStart w:id="2" w:name="_Toc22874"/>
      <w:r>
        <w:t>Phần 3: Phân tích và nhận xét</w:t>
      </w:r>
      <w:bookmarkEnd w:id="2"/>
    </w:p>
    <w:p w14:paraId="68E58429">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Qua kết quả học tập, có thể thấy các môn học như </w:t>
      </w:r>
      <w:r>
        <w:rPr>
          <w:rStyle w:val="10"/>
          <w:rFonts w:hint="default" w:ascii="Times New Roman" w:hAnsi="Times New Roman" w:cs="Times New Roman"/>
          <w:sz w:val="28"/>
          <w:szCs w:val="28"/>
        </w:rPr>
        <w:t>Tin học</w:t>
      </w:r>
      <w:r>
        <w:rPr>
          <w:rFonts w:hint="default" w:ascii="Times New Roman" w:hAnsi="Times New Roman" w:cs="Times New Roman"/>
          <w:sz w:val="28"/>
          <w:szCs w:val="28"/>
        </w:rPr>
        <w:t xml:space="preserve"> và </w:t>
      </w:r>
      <w:r>
        <w:rPr>
          <w:rStyle w:val="10"/>
          <w:rFonts w:hint="default" w:ascii="Times New Roman" w:hAnsi="Times New Roman" w:cs="Times New Roman"/>
          <w:sz w:val="28"/>
          <w:szCs w:val="28"/>
        </w:rPr>
        <w:t>Tiếng Anh</w:t>
      </w:r>
      <w:r>
        <w:rPr>
          <w:rFonts w:hint="default" w:ascii="Times New Roman" w:hAnsi="Times New Roman" w:cs="Times New Roman"/>
          <w:sz w:val="28"/>
          <w:szCs w:val="28"/>
        </w:rPr>
        <w:t xml:space="preserve"> đạt thành tích nổi bật, thể hiện sự tập trung và nỗ lực lớn. Tuy nhiên, ở môn </w:t>
      </w:r>
      <w:r>
        <w:rPr>
          <w:rStyle w:val="10"/>
          <w:rFonts w:hint="default" w:ascii="Times New Roman" w:hAnsi="Times New Roman" w:cs="Times New Roman"/>
          <w:sz w:val="28"/>
          <w:szCs w:val="28"/>
        </w:rPr>
        <w:t>Lịch sử</w:t>
      </w:r>
      <w:r>
        <w:rPr>
          <w:rFonts w:hint="default" w:ascii="Times New Roman" w:hAnsi="Times New Roman" w:cs="Times New Roman"/>
          <w:sz w:val="28"/>
          <w:szCs w:val="28"/>
        </w:rPr>
        <w:t xml:space="preserve"> và </w:t>
      </w:r>
      <w:r>
        <w:rPr>
          <w:rStyle w:val="10"/>
          <w:rFonts w:hint="default" w:ascii="Times New Roman" w:hAnsi="Times New Roman" w:cs="Times New Roman"/>
          <w:sz w:val="28"/>
          <w:szCs w:val="28"/>
        </w:rPr>
        <w:t>Ngữ văn</w:t>
      </w:r>
      <w:r>
        <w:rPr>
          <w:rFonts w:hint="default" w:ascii="Times New Roman" w:hAnsi="Times New Roman" w:cs="Times New Roman"/>
          <w:sz w:val="28"/>
          <w:szCs w:val="28"/>
        </w:rPr>
        <w:t>, điểm số còn khiêm tốn, cần tăng cường thời gian đọc hiểu và luyện tập thêm.</w:t>
      </w:r>
    </w:p>
    <w:p w14:paraId="4EDD2F4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Biểu đồ minh họa kết quả học tập</w:t>
      </w:r>
    </w:p>
    <w:p w14:paraId="6C98E6F2">
      <w:pPr>
        <w:rPr>
          <w:rFonts w:hint="default"/>
          <w:lang w:val="vi-VN"/>
        </w:rPr>
      </w:pPr>
      <w:r>
        <w:rPr>
          <w:rFonts w:hint="default"/>
          <w:lang w:val="vi-VN"/>
        </w:rPr>
        <w:drawing>
          <wp:inline distT="0" distB="0" distL="114300" distR="114300">
            <wp:extent cx="5256530" cy="2988310"/>
            <wp:effectExtent l="5080" t="4445" r="1143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EAE7C">
      <w:pPr>
        <w:jc w:val="both"/>
        <w:rPr>
          <w:rStyle w:val="10"/>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15414">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518E21">
                          <w:pPr>
                            <w:pStyle w:val="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66518E21">
                    <w:pPr>
                      <w:pStyle w:val="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9BA8AA">
    <w:pPr>
      <w:pStyle w:val="8"/>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19"/>
        <w:szCs w:val="19"/>
        <w:shd w:val="clear" w:fill="FFFFFF"/>
      </w:rPr>
      <w:t>Trường Đại học XYZ – Báo cáo học tập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4747D"/>
    <w:rsid w:val="4B04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Điểm giữa kỳ</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Sheet1!$A$3:$A$6</c:f>
              <c:strCache>
                <c:ptCount val="4"/>
                <c:pt idx="0">
                  <c:v>văn</c:v>
                </c:pt>
                <c:pt idx="1">
                  <c:v>anh</c:v>
                </c:pt>
                <c:pt idx="2">
                  <c:v>tin</c:v>
                </c:pt>
              </c:strCache>
            </c:strRef>
          </c:cat>
          <c:val>
            <c:numRef>
              <c:f>Sheet1!$B$3:$B$6</c:f>
              <c:numCache>
                <c:formatCode>General</c:formatCode>
                <c:ptCount val="4"/>
                <c:pt idx="0">
                  <c:v>7.5</c:v>
                </c:pt>
                <c:pt idx="1">
                  <c:v>8.5</c:v>
                </c:pt>
                <c:pt idx="2">
                  <c:v>9</c:v>
                </c:pt>
              </c:numCache>
            </c:numRef>
          </c:val>
        </c:ser>
        <c:ser>
          <c:idx val="1"/>
          <c:order val="1"/>
          <c:tx>
            <c:strRef>
              <c:f>Sheet1!$C$1</c:f>
              <c:strCache>
                <c:ptCount val="1"/>
                <c:pt idx="0">
                  <c:v>Điểm cuối kỳ</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Sheet1!$A$3:$A$6</c:f>
              <c:strCache>
                <c:ptCount val="4"/>
                <c:pt idx="0">
                  <c:v>văn</c:v>
                </c:pt>
                <c:pt idx="1">
                  <c:v>anh</c:v>
                </c:pt>
                <c:pt idx="2">
                  <c:v>tin</c:v>
                </c:pt>
              </c:strCache>
            </c:strRef>
          </c:cat>
          <c:val>
            <c:numRef>
              <c:f>Sheet1!$C$3:$C$6</c:f>
              <c:numCache>
                <c:formatCode>General</c:formatCode>
                <c:ptCount val="4"/>
                <c:pt idx="0">
                  <c:v>8</c:v>
                </c:pt>
                <c:pt idx="1">
                  <c:v>9</c:v>
                </c:pt>
                <c:pt idx="2">
                  <c:v>9.5</c:v>
                </c:pt>
              </c:numCache>
            </c:numRef>
          </c:val>
        </c:ser>
        <c:ser>
          <c:idx val="2"/>
          <c:order val="2"/>
          <c:tx>
            <c:strRef>
              <c:f>Sheet1!$D$1</c:f>
              <c:strCache>
                <c:ptCount val="1"/>
                <c:pt idx="0">
                  <c:v>Điểm trung bình</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Sheet1!$A$3:$A$6</c:f>
              <c:strCache>
                <c:ptCount val="4"/>
                <c:pt idx="0">
                  <c:v>văn</c:v>
                </c:pt>
                <c:pt idx="1">
                  <c:v>anh</c:v>
                </c:pt>
                <c:pt idx="2">
                  <c:v>tin</c:v>
                </c:pt>
              </c:strCache>
            </c:strRef>
          </c:cat>
          <c:val>
            <c:numRef>
              <c:f>Sheet1!$D$3:$D$6</c:f>
              <c:numCache>
                <c:formatCode>General</c:formatCode>
                <c:ptCount val="4"/>
                <c:pt idx="0">
                  <c:v>7.8</c:v>
                </c:pt>
                <c:pt idx="1">
                  <c:v>8.8</c:v>
                </c:pt>
                <c:pt idx="2">
                  <c:v>9.3</c:v>
                </c:pt>
              </c:numCache>
            </c:numRef>
          </c:val>
        </c:ser>
        <c:dLbls>
          <c:showLegendKey val="0"/>
          <c:showVal val="1"/>
          <c:showCatName val="0"/>
          <c:showSerName val="0"/>
          <c:showPercent val="0"/>
          <c:showBubbleSize val="0"/>
        </c:dLbls>
        <c:gapWidth val="246"/>
        <c:overlap val="-28"/>
        <c:axId val="716623651"/>
        <c:axId val="210870268"/>
      </c:barChart>
      <c:catAx>
        <c:axId val="71662365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10870268"/>
        <c:crosses val="autoZero"/>
        <c:auto val="1"/>
        <c:lblAlgn val="ctr"/>
        <c:lblOffset val="100"/>
        <c:noMultiLvlLbl val="0"/>
      </c:catAx>
      <c:valAx>
        <c:axId val="210870268"/>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6623651"/>
        <c:crosses val="autoZero"/>
        <c:crossBetween val="between"/>
      </c:valAx>
      <c:spPr>
        <a:noFill/>
        <a:ln>
          <a:noFill/>
        </a:ln>
        <a:effectLst/>
      </c:spPr>
    </c:plotArea>
    <c:legend>
      <c:legendPos val="b"/>
      <c:layout>
        <c:manualLayout>
          <c:xMode val="edge"/>
          <c:yMode val="edge"/>
          <c:x val="0.350748973181928"/>
          <c:y val="0.906077348066298"/>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2025-09-28T14:57:00Z</dcterms:created>
  <dc:creator>Hoàng Anh Nguyễn</dc:creator>
  <cp:lastModifiedBy>Hoàng Anh Nguyễn</cp:lastModifiedBy>
  <dcterms:modified xsi:type="dcterms:W3CDTF">2025-09-28T15:15:42Z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1055D158F02D416EBAEB88A04F24BC9E_11</vt:lpwstr>
  </property>
</Properties>
</file>