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E6432" w14:textId="77777777" w:rsidR="002D15E3" w:rsidRDefault="002D15E3" w:rsidP="002D15E3">
      <w:pPr>
        <w:ind w:left="1440" w:firstLine="720"/>
        <w:rPr>
          <w:b/>
          <w:bCs/>
          <w:sz w:val="36"/>
          <w:szCs w:val="36"/>
        </w:rPr>
      </w:pPr>
      <w:r w:rsidRPr="002D15E3">
        <w:rPr>
          <w:b/>
          <w:bCs/>
          <w:sz w:val="36"/>
          <w:szCs w:val="36"/>
        </w:rPr>
        <w:t>Exploratory Analysis Document</w:t>
      </w:r>
    </w:p>
    <w:p w14:paraId="1027BDBF" w14:textId="77777777" w:rsidR="000F30D9" w:rsidRPr="00765CFD" w:rsidRDefault="000F30D9" w:rsidP="000F30D9">
      <w:pPr>
        <w:rPr>
          <w:b/>
          <w:bCs/>
          <w:sz w:val="28"/>
          <w:szCs w:val="28"/>
        </w:rPr>
      </w:pPr>
      <w:r w:rsidRPr="00765CFD">
        <w:rPr>
          <w:b/>
          <w:bCs/>
          <w:sz w:val="28"/>
          <w:szCs w:val="28"/>
        </w:rPr>
        <w:t>Dataset Overview</w:t>
      </w:r>
    </w:p>
    <w:p w14:paraId="5FA708E6" w14:textId="61B255BC" w:rsidR="000F30D9" w:rsidRPr="00765CFD" w:rsidRDefault="000F30D9" w:rsidP="000F30D9">
      <w:pPr>
        <w:ind w:firstLine="720"/>
      </w:pPr>
      <w:r w:rsidRPr="00A8736D">
        <w:rPr>
          <w:b/>
          <w:bCs/>
        </w:rPr>
        <w:t>•</w:t>
      </w:r>
      <w:r w:rsidRPr="00A8736D">
        <w:rPr>
          <w:b/>
          <w:bCs/>
        </w:rPr>
        <w:tab/>
      </w:r>
      <w:r w:rsidRPr="00765CFD">
        <w:t xml:space="preserve">Dataset Name: </w:t>
      </w:r>
      <w:r w:rsidR="00B558CF" w:rsidRPr="00B558CF">
        <w:t>U.S. Treasury Monthly Statement of the Public Debt (MSPD)</w:t>
      </w:r>
    </w:p>
    <w:p w14:paraId="260D4875" w14:textId="0A1E753A" w:rsidR="000F30D9" w:rsidRDefault="000F30D9" w:rsidP="000F30D9">
      <w:pPr>
        <w:ind w:firstLine="720"/>
        <w:rPr>
          <w:b/>
          <w:bCs/>
        </w:rPr>
      </w:pPr>
      <w:r w:rsidRPr="00A8736D">
        <w:rPr>
          <w:b/>
          <w:bCs/>
        </w:rPr>
        <w:t>•</w:t>
      </w:r>
      <w:r w:rsidRPr="00A8736D">
        <w:rPr>
          <w:b/>
          <w:bCs/>
        </w:rPr>
        <w:tab/>
      </w:r>
      <w:r w:rsidRPr="00765CFD">
        <w:t>Source:</w:t>
      </w:r>
      <w:r>
        <w:rPr>
          <w:b/>
          <w:bCs/>
        </w:rPr>
        <w:t xml:space="preserve"> </w:t>
      </w:r>
      <w:hyperlink r:id="rId5" w:history="1">
        <w:r w:rsidR="00860FB9">
          <w:rPr>
            <w:rStyle w:val="Hyperlink"/>
          </w:rPr>
          <w:t>Monthly Statement of the Public Debt (MSPD) | U.S. Treasury Fiscal Data</w:t>
        </w:r>
      </w:hyperlink>
    </w:p>
    <w:p w14:paraId="471C46F9" w14:textId="65C495D7" w:rsidR="000F30D9" w:rsidRPr="0076735D" w:rsidRDefault="000F30D9" w:rsidP="0076735D">
      <w:pPr>
        <w:ind w:firstLine="720"/>
      </w:pPr>
      <w:r w:rsidRPr="00A8736D">
        <w:rPr>
          <w:b/>
          <w:bCs/>
        </w:rPr>
        <w:t>•</w:t>
      </w:r>
      <w:r w:rsidRPr="00A8736D">
        <w:rPr>
          <w:b/>
          <w:bCs/>
        </w:rPr>
        <w:tab/>
      </w:r>
      <w:r w:rsidRPr="00765CFD">
        <w:t>Date of Data: 01/31/2001 to 09/30/2023</w:t>
      </w:r>
    </w:p>
    <w:p w14:paraId="5BDEDF42" w14:textId="77777777" w:rsidR="000F30D9" w:rsidRPr="002D15E3" w:rsidRDefault="000F30D9" w:rsidP="002D15E3">
      <w:pPr>
        <w:ind w:left="1440" w:firstLine="720"/>
        <w:rPr>
          <w:b/>
          <w:bCs/>
          <w:sz w:val="36"/>
          <w:szCs w:val="36"/>
        </w:rPr>
      </w:pPr>
    </w:p>
    <w:p w14:paraId="72568C75" w14:textId="77777777" w:rsidR="002D15E3" w:rsidRPr="002D15E3" w:rsidRDefault="002D15E3" w:rsidP="002D15E3">
      <w:pPr>
        <w:rPr>
          <w:b/>
          <w:bCs/>
          <w:sz w:val="28"/>
          <w:szCs w:val="28"/>
        </w:rPr>
      </w:pPr>
      <w:r w:rsidRPr="002D15E3">
        <w:rPr>
          <w:b/>
          <w:bCs/>
          <w:sz w:val="28"/>
          <w:szCs w:val="28"/>
        </w:rPr>
        <w:t>Dataset Description</w:t>
      </w:r>
    </w:p>
    <w:p w14:paraId="7D574A7A" w14:textId="310F91B3" w:rsidR="002D15E3" w:rsidRPr="002D15E3" w:rsidRDefault="002D15E3" w:rsidP="002D15E3">
      <w:r w:rsidRPr="002D15E3">
        <w:t>The dataset contains information about various types of U.S. government securities, categorized as Marketable and Nonmarketable, for three different months in the year. It includes details on debt held by the public and intragovernmental holdings, providing insights into the total public debt outstanding.</w:t>
      </w:r>
    </w:p>
    <w:p w14:paraId="18D132C4" w14:textId="77777777" w:rsidR="002D15E3" w:rsidRPr="002D15E3" w:rsidRDefault="002D15E3" w:rsidP="002D15E3">
      <w:pPr>
        <w:rPr>
          <w:b/>
          <w:bCs/>
        </w:rPr>
      </w:pPr>
      <w:r w:rsidRPr="002D15E3">
        <w:rPr>
          <w:b/>
          <w:bCs/>
        </w:rPr>
        <w:t>1. Data Summary</w:t>
      </w:r>
    </w:p>
    <w:p w14:paraId="2C955A34" w14:textId="77777777" w:rsidR="002D15E3" w:rsidRDefault="002D15E3" w:rsidP="002D15E3">
      <w:pPr>
        <w:rPr>
          <w:b/>
          <w:bCs/>
        </w:rPr>
      </w:pPr>
      <w:r w:rsidRPr="002D15E3">
        <w:rPr>
          <w:b/>
          <w:bCs/>
        </w:rPr>
        <w:t>Let's begin by summarizing the key statistics of the dataset:</w:t>
      </w:r>
    </w:p>
    <w:p w14:paraId="24333363" w14:textId="41F3C853" w:rsidR="008C4076" w:rsidRPr="008C4076" w:rsidRDefault="008C4076" w:rsidP="008C4076">
      <w:pPr>
        <w:pStyle w:val="ListParagraph"/>
        <w:numPr>
          <w:ilvl w:val="0"/>
          <w:numId w:val="9"/>
        </w:numPr>
        <w:rPr>
          <w:b/>
          <w:bCs/>
        </w:rPr>
      </w:pPr>
      <w:r>
        <w:rPr>
          <w:b/>
          <w:bCs/>
        </w:rPr>
        <w:t xml:space="preserve">Total Rows: </w:t>
      </w:r>
      <w:r w:rsidRPr="008C4076">
        <w:t>4169</w:t>
      </w:r>
    </w:p>
    <w:p w14:paraId="68FEA069" w14:textId="7239A13A" w:rsidR="002D15E3" w:rsidRDefault="002D15E3" w:rsidP="008C4076">
      <w:pPr>
        <w:pStyle w:val="ListParagraph"/>
        <w:numPr>
          <w:ilvl w:val="0"/>
          <w:numId w:val="9"/>
        </w:numPr>
      </w:pPr>
      <w:r w:rsidRPr="008C4076">
        <w:rPr>
          <w:b/>
          <w:bCs/>
        </w:rPr>
        <w:t xml:space="preserve">Columns: </w:t>
      </w:r>
      <w:r w:rsidRPr="004866DB">
        <w:t>12</w:t>
      </w:r>
    </w:p>
    <w:p w14:paraId="13E90EEE" w14:textId="466A52CA" w:rsidR="008C4076" w:rsidRPr="008C4076" w:rsidRDefault="008C4076" w:rsidP="008C4076">
      <w:pPr>
        <w:pStyle w:val="ListParagraph"/>
        <w:numPr>
          <w:ilvl w:val="0"/>
          <w:numId w:val="7"/>
        </w:numPr>
        <w:rPr>
          <w:b/>
          <w:bCs/>
        </w:rPr>
      </w:pPr>
      <w:r>
        <w:rPr>
          <w:b/>
          <w:bCs/>
        </w:rPr>
        <w:t xml:space="preserve">       Memory usage: </w:t>
      </w:r>
      <w:r w:rsidRPr="008C4076">
        <w:t>423.5 KB</w:t>
      </w:r>
      <w:r>
        <w:rPr>
          <w:b/>
          <w:bCs/>
        </w:rPr>
        <w:t xml:space="preserve"> </w:t>
      </w:r>
    </w:p>
    <w:p w14:paraId="0B5CCAF8" w14:textId="77777777" w:rsidR="002D15E3" w:rsidRPr="002D15E3" w:rsidRDefault="002D15E3" w:rsidP="002D15E3">
      <w:pPr>
        <w:rPr>
          <w:b/>
          <w:bCs/>
        </w:rPr>
      </w:pPr>
      <w:r w:rsidRPr="002D15E3">
        <w:rPr>
          <w:b/>
          <w:bCs/>
        </w:rPr>
        <w:t>2. Data Overview</w:t>
      </w:r>
    </w:p>
    <w:p w14:paraId="01E33203" w14:textId="03FB9F57" w:rsidR="002D15E3" w:rsidRPr="002D15E3" w:rsidRDefault="002D15E3" w:rsidP="002D15E3">
      <w:pPr>
        <w:ind w:left="720" w:hanging="720"/>
        <w:rPr>
          <w:b/>
          <w:bCs/>
        </w:rPr>
      </w:pPr>
      <w:r w:rsidRPr="002D15E3">
        <w:rPr>
          <w:b/>
          <w:bCs/>
        </w:rPr>
        <w:t>•</w:t>
      </w:r>
      <w:r w:rsidRPr="002D15E3">
        <w:rPr>
          <w:b/>
          <w:bCs/>
        </w:rPr>
        <w:tab/>
        <w:t xml:space="preserve">Record Date: </w:t>
      </w:r>
      <w:r w:rsidRPr="002D15E3">
        <w:t xml:space="preserve">The data covers three months in </w:t>
      </w:r>
      <w:r w:rsidR="008104BF">
        <w:t>year</w:t>
      </w:r>
      <w:r w:rsidRPr="002D15E3">
        <w:t>, with information on January 31st, February 28th, and March 31st.</w:t>
      </w:r>
    </w:p>
    <w:p w14:paraId="04024D1F" w14:textId="77777777" w:rsidR="002D15E3" w:rsidRPr="002D15E3" w:rsidRDefault="002D15E3" w:rsidP="002D15E3">
      <w:pPr>
        <w:ind w:left="720" w:hanging="720"/>
      </w:pPr>
      <w:r w:rsidRPr="002D15E3">
        <w:rPr>
          <w:b/>
          <w:bCs/>
        </w:rPr>
        <w:t>•</w:t>
      </w:r>
      <w:r w:rsidRPr="002D15E3">
        <w:rPr>
          <w:b/>
          <w:bCs/>
        </w:rPr>
        <w:tab/>
        <w:t xml:space="preserve">Security Type Description: </w:t>
      </w:r>
      <w:r w:rsidRPr="002D15E3">
        <w:t>Categorizes the securities into various types, including Bills, Notes, Bonds, Treasury Inflation-Protected Securities, Floating Rate Notes, Federal Financing Bank, and others.</w:t>
      </w:r>
    </w:p>
    <w:p w14:paraId="6755624C" w14:textId="77777777" w:rsidR="002D15E3" w:rsidRPr="002D15E3" w:rsidRDefault="002D15E3" w:rsidP="002D15E3">
      <w:pPr>
        <w:rPr>
          <w:b/>
          <w:bCs/>
        </w:rPr>
      </w:pPr>
      <w:r w:rsidRPr="002D15E3">
        <w:rPr>
          <w:b/>
          <w:bCs/>
        </w:rPr>
        <w:t>•</w:t>
      </w:r>
      <w:r w:rsidRPr="002D15E3">
        <w:rPr>
          <w:b/>
          <w:bCs/>
        </w:rPr>
        <w:tab/>
        <w:t xml:space="preserve">Security Class Description: </w:t>
      </w:r>
      <w:r w:rsidRPr="002D15E3">
        <w:t>Distinguishes between Marketable and Nonmarketable securities.</w:t>
      </w:r>
    </w:p>
    <w:p w14:paraId="51A8EBBE" w14:textId="77777777" w:rsidR="002D15E3" w:rsidRPr="002D15E3" w:rsidRDefault="002D15E3" w:rsidP="002D15E3">
      <w:r w:rsidRPr="002D15E3">
        <w:rPr>
          <w:b/>
          <w:bCs/>
        </w:rPr>
        <w:t>•</w:t>
      </w:r>
      <w:r w:rsidRPr="002D15E3">
        <w:rPr>
          <w:b/>
          <w:bCs/>
        </w:rPr>
        <w:tab/>
        <w:t xml:space="preserve">Debt Held Public (Million Amount): </w:t>
      </w:r>
      <w:r w:rsidRPr="002D15E3">
        <w:t>The amount of debt held by the public in millions.</w:t>
      </w:r>
    </w:p>
    <w:p w14:paraId="5868C964" w14:textId="77777777" w:rsidR="002D15E3" w:rsidRPr="002D15E3" w:rsidRDefault="002D15E3" w:rsidP="002D15E3">
      <w:pPr>
        <w:ind w:left="720" w:hanging="720"/>
      </w:pPr>
      <w:r w:rsidRPr="002D15E3">
        <w:rPr>
          <w:b/>
          <w:bCs/>
        </w:rPr>
        <w:t>•</w:t>
      </w:r>
      <w:r w:rsidRPr="002D15E3">
        <w:rPr>
          <w:b/>
          <w:bCs/>
        </w:rPr>
        <w:tab/>
        <w:t xml:space="preserve">Intragovernmental Hold (Million Amount): </w:t>
      </w:r>
      <w:r w:rsidRPr="002D15E3">
        <w:t xml:space="preserve">The amount of debt held </w:t>
      </w:r>
      <w:proofErr w:type="spellStart"/>
      <w:r w:rsidRPr="002D15E3">
        <w:t>intragovernmentally</w:t>
      </w:r>
      <w:proofErr w:type="spellEnd"/>
      <w:r w:rsidRPr="002D15E3">
        <w:t xml:space="preserve"> in millions.</w:t>
      </w:r>
    </w:p>
    <w:p w14:paraId="4702D459" w14:textId="77777777" w:rsidR="002D15E3" w:rsidRPr="002D15E3" w:rsidRDefault="002D15E3" w:rsidP="002D15E3">
      <w:pPr>
        <w:rPr>
          <w:b/>
          <w:bCs/>
        </w:rPr>
      </w:pPr>
      <w:r w:rsidRPr="002D15E3">
        <w:rPr>
          <w:b/>
          <w:bCs/>
        </w:rPr>
        <w:t>•</w:t>
      </w:r>
      <w:r w:rsidRPr="002D15E3">
        <w:rPr>
          <w:b/>
          <w:bCs/>
        </w:rPr>
        <w:tab/>
        <w:t xml:space="preserve">Total (Million Amount): </w:t>
      </w:r>
      <w:r w:rsidRPr="002D15E3">
        <w:t>The total amount of debt in millions.</w:t>
      </w:r>
    </w:p>
    <w:p w14:paraId="52993E10" w14:textId="77777777" w:rsidR="002D15E3" w:rsidRPr="002D15E3" w:rsidRDefault="002D15E3" w:rsidP="002D15E3">
      <w:r w:rsidRPr="002D15E3">
        <w:rPr>
          <w:b/>
          <w:bCs/>
        </w:rPr>
        <w:t>•</w:t>
      </w:r>
      <w:r w:rsidRPr="002D15E3">
        <w:rPr>
          <w:b/>
          <w:bCs/>
        </w:rPr>
        <w:tab/>
      </w:r>
      <w:proofErr w:type="spellStart"/>
      <w:r w:rsidRPr="002D15E3">
        <w:rPr>
          <w:b/>
          <w:bCs/>
        </w:rPr>
        <w:t>Src</w:t>
      </w:r>
      <w:proofErr w:type="spellEnd"/>
      <w:r w:rsidRPr="002D15E3">
        <w:rPr>
          <w:b/>
          <w:bCs/>
        </w:rPr>
        <w:t xml:space="preserve"> Line Number: </w:t>
      </w:r>
      <w:r w:rsidRPr="002D15E3">
        <w:t>A numeric identifier for the data source.</w:t>
      </w:r>
    </w:p>
    <w:p w14:paraId="5BEEBC95" w14:textId="77777777" w:rsidR="002D15E3" w:rsidRPr="002D15E3" w:rsidRDefault="002D15E3" w:rsidP="002D15E3">
      <w:r w:rsidRPr="002D15E3">
        <w:rPr>
          <w:b/>
          <w:bCs/>
        </w:rPr>
        <w:t>•</w:t>
      </w:r>
      <w:r w:rsidRPr="002D15E3">
        <w:rPr>
          <w:b/>
          <w:bCs/>
        </w:rPr>
        <w:tab/>
        <w:t xml:space="preserve">Record Fiscal Year: </w:t>
      </w:r>
      <w:r w:rsidRPr="002D15E3">
        <w:t>The fiscal year associated with the data.</w:t>
      </w:r>
    </w:p>
    <w:p w14:paraId="70C598FC" w14:textId="77777777" w:rsidR="002D15E3" w:rsidRPr="002D15E3" w:rsidRDefault="002D15E3" w:rsidP="002D15E3">
      <w:r w:rsidRPr="002D15E3">
        <w:rPr>
          <w:b/>
          <w:bCs/>
        </w:rPr>
        <w:t>•</w:t>
      </w:r>
      <w:r w:rsidRPr="002D15E3">
        <w:rPr>
          <w:b/>
          <w:bCs/>
        </w:rPr>
        <w:tab/>
        <w:t xml:space="preserve">Record Fiscal Quarter: </w:t>
      </w:r>
      <w:r w:rsidRPr="002D15E3">
        <w:t>The fiscal quarter associated with the data.</w:t>
      </w:r>
    </w:p>
    <w:p w14:paraId="678AFB39" w14:textId="77777777" w:rsidR="002D15E3" w:rsidRPr="002D15E3" w:rsidRDefault="002D15E3" w:rsidP="002D15E3">
      <w:r w:rsidRPr="002D15E3">
        <w:rPr>
          <w:b/>
          <w:bCs/>
        </w:rPr>
        <w:t>•</w:t>
      </w:r>
      <w:r w:rsidRPr="002D15E3">
        <w:rPr>
          <w:b/>
          <w:bCs/>
        </w:rPr>
        <w:tab/>
        <w:t xml:space="preserve">Record Calendar Year: </w:t>
      </w:r>
      <w:r w:rsidRPr="002D15E3">
        <w:t>The calendar year associated with the data.</w:t>
      </w:r>
    </w:p>
    <w:p w14:paraId="59D4A753" w14:textId="77777777" w:rsidR="002D15E3" w:rsidRPr="002D15E3" w:rsidRDefault="002D15E3" w:rsidP="002D15E3">
      <w:r w:rsidRPr="002D15E3">
        <w:rPr>
          <w:b/>
          <w:bCs/>
        </w:rPr>
        <w:lastRenderedPageBreak/>
        <w:t>•</w:t>
      </w:r>
      <w:r w:rsidRPr="002D15E3">
        <w:rPr>
          <w:b/>
          <w:bCs/>
        </w:rPr>
        <w:tab/>
        <w:t xml:space="preserve">Record Calendar Quarter: </w:t>
      </w:r>
      <w:r w:rsidRPr="002D15E3">
        <w:t>The calendar quarter associated with the data.</w:t>
      </w:r>
    </w:p>
    <w:p w14:paraId="4E241163" w14:textId="77777777" w:rsidR="002D15E3" w:rsidRPr="002D15E3" w:rsidRDefault="002D15E3" w:rsidP="002D15E3">
      <w:pPr>
        <w:rPr>
          <w:b/>
          <w:bCs/>
        </w:rPr>
      </w:pPr>
      <w:r w:rsidRPr="002D15E3">
        <w:rPr>
          <w:b/>
          <w:bCs/>
        </w:rPr>
        <w:t>•</w:t>
      </w:r>
      <w:r w:rsidRPr="002D15E3">
        <w:rPr>
          <w:b/>
          <w:bCs/>
        </w:rPr>
        <w:tab/>
        <w:t xml:space="preserve">Record Calendar Month: </w:t>
      </w:r>
      <w:r w:rsidRPr="002D15E3">
        <w:t>The calendar month associated with the data.</w:t>
      </w:r>
    </w:p>
    <w:p w14:paraId="58BBF4EE" w14:textId="77777777" w:rsidR="002D15E3" w:rsidRDefault="002D15E3" w:rsidP="002D15E3">
      <w:r w:rsidRPr="002D15E3">
        <w:rPr>
          <w:b/>
          <w:bCs/>
        </w:rPr>
        <w:t>•</w:t>
      </w:r>
      <w:r w:rsidRPr="002D15E3">
        <w:rPr>
          <w:b/>
          <w:bCs/>
        </w:rPr>
        <w:tab/>
        <w:t>Record Calendar Day</w:t>
      </w:r>
      <w:r w:rsidRPr="002D15E3">
        <w:t>: The calendar day associated with the data.</w:t>
      </w:r>
    </w:p>
    <w:p w14:paraId="4B0B9B91" w14:textId="77777777" w:rsidR="008104BF" w:rsidRDefault="008104BF" w:rsidP="002D15E3"/>
    <w:p w14:paraId="5E90428C" w14:textId="4DF96BA8" w:rsidR="00DF4B8C" w:rsidRDefault="00E635EF" w:rsidP="002D15E3">
      <w:r w:rsidRPr="00E635EF">
        <w:rPr>
          <w:noProof/>
        </w:rPr>
        <w:drawing>
          <wp:inline distT="0" distB="0" distL="0" distR="0" wp14:anchorId="74A3EDF6" wp14:editId="2AE22650">
            <wp:extent cx="5943600" cy="2773680"/>
            <wp:effectExtent l="0" t="0" r="0" b="7620"/>
            <wp:docPr id="36963649"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3649" name="Picture 1" descr="A graph of a number of blue bars&#10;&#10;Description automatically generated"/>
                    <pic:cNvPicPr/>
                  </pic:nvPicPr>
                  <pic:blipFill>
                    <a:blip r:embed="rId6"/>
                    <a:stretch>
                      <a:fillRect/>
                    </a:stretch>
                  </pic:blipFill>
                  <pic:spPr>
                    <a:xfrm>
                      <a:off x="0" y="0"/>
                      <a:ext cx="5943600" cy="2773680"/>
                    </a:xfrm>
                    <a:prstGeom prst="rect">
                      <a:avLst/>
                    </a:prstGeom>
                  </pic:spPr>
                </pic:pic>
              </a:graphicData>
            </a:graphic>
          </wp:inline>
        </w:drawing>
      </w:r>
    </w:p>
    <w:p w14:paraId="4CEB899B" w14:textId="77777777" w:rsidR="00397F73" w:rsidRDefault="00397F73" w:rsidP="002D15E3"/>
    <w:p w14:paraId="52533750" w14:textId="630DCC73" w:rsidR="00397F73" w:rsidRDefault="00AF3372" w:rsidP="002D15E3">
      <w:r w:rsidRPr="00AF3372">
        <w:rPr>
          <w:noProof/>
        </w:rPr>
        <w:drawing>
          <wp:inline distT="0" distB="0" distL="0" distR="0" wp14:anchorId="2369422D" wp14:editId="46C7EA2B">
            <wp:extent cx="5943600" cy="2910840"/>
            <wp:effectExtent l="0" t="0" r="0" b="3810"/>
            <wp:docPr id="1547429040" name="Picture 1" descr="A graph of a market sh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29040" name="Picture 1" descr="A graph of a market share&#10;&#10;Description automatically generated with medium confidence"/>
                    <pic:cNvPicPr/>
                  </pic:nvPicPr>
                  <pic:blipFill>
                    <a:blip r:embed="rId7"/>
                    <a:stretch>
                      <a:fillRect/>
                    </a:stretch>
                  </pic:blipFill>
                  <pic:spPr>
                    <a:xfrm>
                      <a:off x="0" y="0"/>
                      <a:ext cx="5943600" cy="2910840"/>
                    </a:xfrm>
                    <a:prstGeom prst="rect">
                      <a:avLst/>
                    </a:prstGeom>
                  </pic:spPr>
                </pic:pic>
              </a:graphicData>
            </a:graphic>
          </wp:inline>
        </w:drawing>
      </w:r>
    </w:p>
    <w:p w14:paraId="19CE7AAF" w14:textId="77777777" w:rsidR="00AF3372" w:rsidRDefault="00AF3372" w:rsidP="002D15E3"/>
    <w:p w14:paraId="6D4FD733" w14:textId="77777777" w:rsidR="000C039A" w:rsidRDefault="000C039A" w:rsidP="002D15E3"/>
    <w:p w14:paraId="153ABD72" w14:textId="77777777" w:rsidR="000C039A" w:rsidRDefault="000C039A" w:rsidP="002D15E3"/>
    <w:p w14:paraId="2DBC3BC7" w14:textId="3ED3F23C" w:rsidR="00397F73" w:rsidRPr="002D15E3" w:rsidRDefault="00424B41" w:rsidP="002D15E3">
      <w:r>
        <w:lastRenderedPageBreak/>
        <w:t>Below</w:t>
      </w:r>
      <w:r w:rsidR="000C039A">
        <w:t xml:space="preserve"> is the table of the dataset with few records in it.</w:t>
      </w:r>
    </w:p>
    <w:tbl>
      <w:tblPr>
        <w:tblStyle w:val="TableGrid"/>
        <w:tblW w:w="0" w:type="auto"/>
        <w:tblLook w:val="04A0" w:firstRow="1" w:lastRow="0" w:firstColumn="1" w:lastColumn="0" w:noHBand="0" w:noVBand="1"/>
      </w:tblPr>
      <w:tblGrid>
        <w:gridCol w:w="524"/>
        <w:gridCol w:w="702"/>
        <w:gridCol w:w="708"/>
        <w:gridCol w:w="895"/>
        <w:gridCol w:w="804"/>
        <w:gridCol w:w="572"/>
        <w:gridCol w:w="527"/>
        <w:gridCol w:w="677"/>
        <w:gridCol w:w="756"/>
        <w:gridCol w:w="767"/>
        <w:gridCol w:w="846"/>
        <w:gridCol w:w="825"/>
        <w:gridCol w:w="747"/>
      </w:tblGrid>
      <w:tr w:rsidR="00435B3F" w14:paraId="4CFD8C1C" w14:textId="77777777" w:rsidTr="00435B3F">
        <w:tc>
          <w:tcPr>
            <w:tcW w:w="524" w:type="dxa"/>
            <w:vAlign w:val="bottom"/>
          </w:tcPr>
          <w:p w14:paraId="7F774D1B" w14:textId="66395CC8" w:rsidR="00435B3F" w:rsidRDefault="00435B3F" w:rsidP="00435B3F">
            <w:proofErr w:type="spellStart"/>
            <w:r>
              <w:rPr>
                <w:rFonts w:ascii="Calibri" w:hAnsi="Calibri" w:cs="Calibri"/>
                <w:color w:val="000000"/>
              </w:rPr>
              <w:t>record_date</w:t>
            </w:r>
            <w:proofErr w:type="spellEnd"/>
          </w:p>
        </w:tc>
        <w:tc>
          <w:tcPr>
            <w:tcW w:w="702" w:type="dxa"/>
            <w:vAlign w:val="bottom"/>
          </w:tcPr>
          <w:p w14:paraId="1ED60F47" w14:textId="41A94CA8" w:rsidR="00435B3F" w:rsidRDefault="00435B3F" w:rsidP="00435B3F">
            <w:proofErr w:type="spellStart"/>
            <w:r>
              <w:rPr>
                <w:rFonts w:ascii="Calibri" w:hAnsi="Calibri" w:cs="Calibri"/>
                <w:color w:val="000000"/>
              </w:rPr>
              <w:t>security_type_desc</w:t>
            </w:r>
            <w:proofErr w:type="spellEnd"/>
          </w:p>
        </w:tc>
        <w:tc>
          <w:tcPr>
            <w:tcW w:w="708" w:type="dxa"/>
            <w:vAlign w:val="bottom"/>
          </w:tcPr>
          <w:p w14:paraId="1514E40C" w14:textId="16EEA75E" w:rsidR="00435B3F" w:rsidRDefault="00435B3F" w:rsidP="00435B3F">
            <w:proofErr w:type="spellStart"/>
            <w:r>
              <w:rPr>
                <w:rFonts w:ascii="Calibri" w:hAnsi="Calibri" w:cs="Calibri"/>
                <w:color w:val="000000"/>
              </w:rPr>
              <w:t>security_class_desc</w:t>
            </w:r>
            <w:proofErr w:type="spellEnd"/>
          </w:p>
        </w:tc>
        <w:tc>
          <w:tcPr>
            <w:tcW w:w="895" w:type="dxa"/>
            <w:vAlign w:val="bottom"/>
          </w:tcPr>
          <w:p w14:paraId="5D7D5E40" w14:textId="5C978EEC" w:rsidR="00435B3F" w:rsidRDefault="00435B3F" w:rsidP="00435B3F">
            <w:proofErr w:type="spellStart"/>
            <w:r>
              <w:rPr>
                <w:rFonts w:ascii="Calibri" w:hAnsi="Calibri" w:cs="Calibri"/>
                <w:color w:val="000000"/>
              </w:rPr>
              <w:t>debt_held_public_mil_amt</w:t>
            </w:r>
            <w:proofErr w:type="spellEnd"/>
          </w:p>
        </w:tc>
        <w:tc>
          <w:tcPr>
            <w:tcW w:w="804" w:type="dxa"/>
            <w:vAlign w:val="bottom"/>
          </w:tcPr>
          <w:p w14:paraId="2D959870" w14:textId="3D52E267" w:rsidR="00435B3F" w:rsidRDefault="00435B3F" w:rsidP="00435B3F">
            <w:proofErr w:type="spellStart"/>
            <w:r>
              <w:rPr>
                <w:rFonts w:ascii="Calibri" w:hAnsi="Calibri" w:cs="Calibri"/>
                <w:color w:val="000000"/>
              </w:rPr>
              <w:t>intragov_hold_mil_amt</w:t>
            </w:r>
            <w:proofErr w:type="spellEnd"/>
          </w:p>
        </w:tc>
        <w:tc>
          <w:tcPr>
            <w:tcW w:w="572" w:type="dxa"/>
            <w:vAlign w:val="bottom"/>
          </w:tcPr>
          <w:p w14:paraId="5F05DCB3" w14:textId="2FC46E1F" w:rsidR="00435B3F" w:rsidRDefault="00435B3F" w:rsidP="00435B3F">
            <w:proofErr w:type="spellStart"/>
            <w:r>
              <w:rPr>
                <w:rFonts w:ascii="Calibri" w:hAnsi="Calibri" w:cs="Calibri"/>
                <w:color w:val="000000"/>
              </w:rPr>
              <w:t>total_mil_amt</w:t>
            </w:r>
            <w:proofErr w:type="spellEnd"/>
          </w:p>
        </w:tc>
        <w:tc>
          <w:tcPr>
            <w:tcW w:w="527" w:type="dxa"/>
            <w:vAlign w:val="bottom"/>
          </w:tcPr>
          <w:p w14:paraId="7EF09AF6" w14:textId="1DC179E6" w:rsidR="00435B3F" w:rsidRDefault="00435B3F" w:rsidP="00435B3F">
            <w:proofErr w:type="spellStart"/>
            <w:r>
              <w:rPr>
                <w:rFonts w:ascii="Calibri" w:hAnsi="Calibri" w:cs="Calibri"/>
                <w:color w:val="000000"/>
              </w:rPr>
              <w:t>src_line_nbr</w:t>
            </w:r>
            <w:proofErr w:type="spellEnd"/>
          </w:p>
        </w:tc>
        <w:tc>
          <w:tcPr>
            <w:tcW w:w="677" w:type="dxa"/>
            <w:vAlign w:val="bottom"/>
          </w:tcPr>
          <w:p w14:paraId="6F75CAB2" w14:textId="226E2FD8" w:rsidR="00435B3F" w:rsidRDefault="00435B3F" w:rsidP="00435B3F">
            <w:proofErr w:type="spellStart"/>
            <w:r>
              <w:rPr>
                <w:rFonts w:ascii="Calibri" w:hAnsi="Calibri" w:cs="Calibri"/>
                <w:color w:val="000000"/>
              </w:rPr>
              <w:t>record_fiscal_year</w:t>
            </w:r>
            <w:proofErr w:type="spellEnd"/>
          </w:p>
        </w:tc>
        <w:tc>
          <w:tcPr>
            <w:tcW w:w="756" w:type="dxa"/>
            <w:vAlign w:val="bottom"/>
          </w:tcPr>
          <w:p w14:paraId="14EE0E45" w14:textId="782E294A" w:rsidR="00435B3F" w:rsidRDefault="00435B3F" w:rsidP="00435B3F">
            <w:proofErr w:type="spellStart"/>
            <w:r>
              <w:rPr>
                <w:rFonts w:ascii="Calibri" w:hAnsi="Calibri" w:cs="Calibri"/>
                <w:color w:val="000000"/>
              </w:rPr>
              <w:t>record_fiscal_quarter</w:t>
            </w:r>
            <w:proofErr w:type="spellEnd"/>
          </w:p>
        </w:tc>
        <w:tc>
          <w:tcPr>
            <w:tcW w:w="767" w:type="dxa"/>
            <w:vAlign w:val="bottom"/>
          </w:tcPr>
          <w:p w14:paraId="0BA62D6F" w14:textId="1DF2E216" w:rsidR="00435B3F" w:rsidRDefault="00435B3F" w:rsidP="00435B3F">
            <w:proofErr w:type="spellStart"/>
            <w:r>
              <w:rPr>
                <w:rFonts w:ascii="Calibri" w:hAnsi="Calibri" w:cs="Calibri"/>
                <w:color w:val="000000"/>
              </w:rPr>
              <w:t>record_calendar_year</w:t>
            </w:r>
            <w:proofErr w:type="spellEnd"/>
          </w:p>
        </w:tc>
        <w:tc>
          <w:tcPr>
            <w:tcW w:w="846" w:type="dxa"/>
            <w:vAlign w:val="bottom"/>
          </w:tcPr>
          <w:p w14:paraId="0129AFEE" w14:textId="09D8368B" w:rsidR="00435B3F" w:rsidRDefault="00435B3F" w:rsidP="00435B3F">
            <w:proofErr w:type="spellStart"/>
            <w:r>
              <w:rPr>
                <w:rFonts w:ascii="Calibri" w:hAnsi="Calibri" w:cs="Calibri"/>
                <w:color w:val="000000"/>
              </w:rPr>
              <w:t>record_calendar_quarter</w:t>
            </w:r>
            <w:proofErr w:type="spellEnd"/>
          </w:p>
        </w:tc>
        <w:tc>
          <w:tcPr>
            <w:tcW w:w="825" w:type="dxa"/>
            <w:vAlign w:val="bottom"/>
          </w:tcPr>
          <w:p w14:paraId="374EDE35" w14:textId="46B13016" w:rsidR="00435B3F" w:rsidRDefault="00435B3F" w:rsidP="00435B3F">
            <w:proofErr w:type="spellStart"/>
            <w:r>
              <w:rPr>
                <w:rFonts w:ascii="Calibri" w:hAnsi="Calibri" w:cs="Calibri"/>
                <w:color w:val="000000"/>
              </w:rPr>
              <w:t>record_calendar_month</w:t>
            </w:r>
            <w:proofErr w:type="spellEnd"/>
          </w:p>
        </w:tc>
        <w:tc>
          <w:tcPr>
            <w:tcW w:w="747" w:type="dxa"/>
            <w:vAlign w:val="bottom"/>
          </w:tcPr>
          <w:p w14:paraId="67AF5931" w14:textId="168EA1AC" w:rsidR="00435B3F" w:rsidRDefault="00435B3F" w:rsidP="00435B3F">
            <w:proofErr w:type="spellStart"/>
            <w:r>
              <w:rPr>
                <w:rFonts w:ascii="Calibri" w:hAnsi="Calibri" w:cs="Calibri"/>
                <w:color w:val="000000"/>
              </w:rPr>
              <w:t>record_calendar_day</w:t>
            </w:r>
            <w:proofErr w:type="spellEnd"/>
          </w:p>
        </w:tc>
      </w:tr>
      <w:tr w:rsidR="00435B3F" w14:paraId="124DB04B" w14:textId="77777777" w:rsidTr="00435B3F">
        <w:tc>
          <w:tcPr>
            <w:tcW w:w="524" w:type="dxa"/>
            <w:vAlign w:val="bottom"/>
          </w:tcPr>
          <w:p w14:paraId="35F4E9CF" w14:textId="7C45E1AA" w:rsidR="00435B3F" w:rsidRDefault="00A73240" w:rsidP="00435B3F">
            <w:r>
              <w:rPr>
                <w:rFonts w:ascii="Calibri" w:hAnsi="Calibri" w:cs="Calibri"/>
                <w:color w:val="000000"/>
              </w:rPr>
              <w:t>1/31/2023</w:t>
            </w:r>
          </w:p>
        </w:tc>
        <w:tc>
          <w:tcPr>
            <w:tcW w:w="702" w:type="dxa"/>
            <w:vAlign w:val="bottom"/>
          </w:tcPr>
          <w:p w14:paraId="0FBA89A9" w14:textId="1BAE6677" w:rsidR="00435B3F" w:rsidRDefault="00435B3F" w:rsidP="00435B3F">
            <w:r>
              <w:rPr>
                <w:rFonts w:ascii="Calibri" w:hAnsi="Calibri" w:cs="Calibri"/>
                <w:color w:val="000000"/>
              </w:rPr>
              <w:t>Marketable</w:t>
            </w:r>
          </w:p>
        </w:tc>
        <w:tc>
          <w:tcPr>
            <w:tcW w:w="708" w:type="dxa"/>
            <w:vAlign w:val="bottom"/>
          </w:tcPr>
          <w:p w14:paraId="023FDB9C" w14:textId="0C9D9A75" w:rsidR="00435B3F" w:rsidRDefault="00435B3F" w:rsidP="00435B3F">
            <w:r>
              <w:rPr>
                <w:rFonts w:ascii="Calibri" w:hAnsi="Calibri" w:cs="Calibri"/>
                <w:color w:val="000000"/>
              </w:rPr>
              <w:t>Bills</w:t>
            </w:r>
          </w:p>
        </w:tc>
        <w:tc>
          <w:tcPr>
            <w:tcW w:w="895" w:type="dxa"/>
            <w:vAlign w:val="bottom"/>
          </w:tcPr>
          <w:p w14:paraId="66D8A086" w14:textId="153B28F6" w:rsidR="00435B3F" w:rsidRDefault="00435B3F" w:rsidP="00435B3F">
            <w:r>
              <w:rPr>
                <w:rFonts w:ascii="Calibri" w:hAnsi="Calibri" w:cs="Calibri"/>
                <w:color w:val="000000"/>
              </w:rPr>
              <w:t>3937202</w:t>
            </w:r>
          </w:p>
        </w:tc>
        <w:tc>
          <w:tcPr>
            <w:tcW w:w="804" w:type="dxa"/>
            <w:vAlign w:val="bottom"/>
          </w:tcPr>
          <w:p w14:paraId="1F931F02" w14:textId="199F3086" w:rsidR="00435B3F" w:rsidRDefault="00435B3F" w:rsidP="00435B3F">
            <w:r>
              <w:rPr>
                <w:rFonts w:ascii="Calibri" w:hAnsi="Calibri" w:cs="Calibri"/>
                <w:color w:val="000000"/>
              </w:rPr>
              <w:t>1671.535</w:t>
            </w:r>
          </w:p>
        </w:tc>
        <w:tc>
          <w:tcPr>
            <w:tcW w:w="572" w:type="dxa"/>
            <w:vAlign w:val="bottom"/>
          </w:tcPr>
          <w:p w14:paraId="6A19508A" w14:textId="0B153F47" w:rsidR="00435B3F" w:rsidRDefault="00435B3F" w:rsidP="00435B3F">
            <w:r>
              <w:rPr>
                <w:rFonts w:ascii="Calibri" w:hAnsi="Calibri" w:cs="Calibri"/>
                <w:color w:val="000000"/>
              </w:rPr>
              <w:t>3938873</w:t>
            </w:r>
          </w:p>
        </w:tc>
        <w:tc>
          <w:tcPr>
            <w:tcW w:w="527" w:type="dxa"/>
            <w:vAlign w:val="bottom"/>
          </w:tcPr>
          <w:p w14:paraId="68339C8A" w14:textId="49293BEB" w:rsidR="00435B3F" w:rsidRDefault="00435B3F" w:rsidP="00435B3F">
            <w:r>
              <w:rPr>
                <w:rFonts w:ascii="Calibri" w:hAnsi="Calibri" w:cs="Calibri"/>
                <w:color w:val="000000"/>
              </w:rPr>
              <w:t>1</w:t>
            </w:r>
          </w:p>
        </w:tc>
        <w:tc>
          <w:tcPr>
            <w:tcW w:w="677" w:type="dxa"/>
            <w:vAlign w:val="bottom"/>
          </w:tcPr>
          <w:p w14:paraId="1F09553E" w14:textId="4DEC77E4" w:rsidR="00435B3F" w:rsidRDefault="00435B3F" w:rsidP="00435B3F">
            <w:r>
              <w:rPr>
                <w:rFonts w:ascii="Calibri" w:hAnsi="Calibri" w:cs="Calibri"/>
                <w:color w:val="000000"/>
              </w:rPr>
              <w:t>2023</w:t>
            </w:r>
          </w:p>
        </w:tc>
        <w:tc>
          <w:tcPr>
            <w:tcW w:w="756" w:type="dxa"/>
            <w:vAlign w:val="bottom"/>
          </w:tcPr>
          <w:p w14:paraId="4417EFB5" w14:textId="03C057A6" w:rsidR="00435B3F" w:rsidRDefault="00435B3F" w:rsidP="00435B3F">
            <w:r>
              <w:rPr>
                <w:rFonts w:ascii="Calibri" w:hAnsi="Calibri" w:cs="Calibri"/>
                <w:color w:val="000000"/>
              </w:rPr>
              <w:t>2</w:t>
            </w:r>
          </w:p>
        </w:tc>
        <w:tc>
          <w:tcPr>
            <w:tcW w:w="767" w:type="dxa"/>
            <w:vAlign w:val="bottom"/>
          </w:tcPr>
          <w:p w14:paraId="6553D7D5" w14:textId="04EF2B6A" w:rsidR="00435B3F" w:rsidRDefault="00435B3F" w:rsidP="00435B3F">
            <w:r>
              <w:rPr>
                <w:rFonts w:ascii="Calibri" w:hAnsi="Calibri" w:cs="Calibri"/>
                <w:color w:val="000000"/>
              </w:rPr>
              <w:t>2023</w:t>
            </w:r>
          </w:p>
        </w:tc>
        <w:tc>
          <w:tcPr>
            <w:tcW w:w="846" w:type="dxa"/>
            <w:vAlign w:val="bottom"/>
          </w:tcPr>
          <w:p w14:paraId="5C8BE17E" w14:textId="66612625" w:rsidR="00435B3F" w:rsidRDefault="00435B3F" w:rsidP="00435B3F">
            <w:r>
              <w:rPr>
                <w:rFonts w:ascii="Calibri" w:hAnsi="Calibri" w:cs="Calibri"/>
                <w:color w:val="000000"/>
              </w:rPr>
              <w:t>1</w:t>
            </w:r>
          </w:p>
        </w:tc>
        <w:tc>
          <w:tcPr>
            <w:tcW w:w="825" w:type="dxa"/>
            <w:vAlign w:val="bottom"/>
          </w:tcPr>
          <w:p w14:paraId="7D5673D0" w14:textId="380152D3" w:rsidR="00435B3F" w:rsidRDefault="00435B3F" w:rsidP="00435B3F">
            <w:r>
              <w:rPr>
                <w:rFonts w:ascii="Calibri" w:hAnsi="Calibri" w:cs="Calibri"/>
                <w:color w:val="000000"/>
              </w:rPr>
              <w:t>1</w:t>
            </w:r>
          </w:p>
        </w:tc>
        <w:tc>
          <w:tcPr>
            <w:tcW w:w="747" w:type="dxa"/>
            <w:vAlign w:val="bottom"/>
          </w:tcPr>
          <w:p w14:paraId="78A5F8FB" w14:textId="25D34C62" w:rsidR="00435B3F" w:rsidRDefault="00435B3F" w:rsidP="00435B3F">
            <w:r>
              <w:rPr>
                <w:rFonts w:ascii="Calibri" w:hAnsi="Calibri" w:cs="Calibri"/>
                <w:color w:val="000000"/>
              </w:rPr>
              <w:t>31</w:t>
            </w:r>
          </w:p>
        </w:tc>
      </w:tr>
      <w:tr w:rsidR="00444E6C" w14:paraId="24B59838" w14:textId="77777777" w:rsidTr="00E2609F">
        <w:tc>
          <w:tcPr>
            <w:tcW w:w="524" w:type="dxa"/>
            <w:vAlign w:val="bottom"/>
          </w:tcPr>
          <w:p w14:paraId="4970F181" w14:textId="0581CA1B" w:rsidR="00444E6C" w:rsidRDefault="00444E6C" w:rsidP="00444E6C">
            <w:r>
              <w:rPr>
                <w:rFonts w:ascii="Calibri" w:hAnsi="Calibri" w:cs="Calibri"/>
                <w:color w:val="000000"/>
              </w:rPr>
              <w:t>1/31/2023</w:t>
            </w:r>
          </w:p>
        </w:tc>
        <w:tc>
          <w:tcPr>
            <w:tcW w:w="702" w:type="dxa"/>
            <w:vAlign w:val="bottom"/>
          </w:tcPr>
          <w:p w14:paraId="0CEDCDEA" w14:textId="5F331705" w:rsidR="00444E6C" w:rsidRDefault="00444E6C" w:rsidP="00444E6C">
            <w:r>
              <w:rPr>
                <w:rFonts w:ascii="Calibri" w:hAnsi="Calibri" w:cs="Calibri"/>
                <w:color w:val="000000"/>
              </w:rPr>
              <w:t>Marketable</w:t>
            </w:r>
          </w:p>
        </w:tc>
        <w:tc>
          <w:tcPr>
            <w:tcW w:w="708" w:type="dxa"/>
            <w:vAlign w:val="bottom"/>
          </w:tcPr>
          <w:p w14:paraId="1A013AA4" w14:textId="4606F0E9" w:rsidR="00444E6C" w:rsidRDefault="00444E6C" w:rsidP="00444E6C">
            <w:r>
              <w:rPr>
                <w:rFonts w:ascii="Calibri" w:hAnsi="Calibri" w:cs="Calibri"/>
                <w:color w:val="000000"/>
              </w:rPr>
              <w:t>Notes</w:t>
            </w:r>
          </w:p>
        </w:tc>
        <w:tc>
          <w:tcPr>
            <w:tcW w:w="895" w:type="dxa"/>
            <w:vAlign w:val="bottom"/>
          </w:tcPr>
          <w:p w14:paraId="3C3354A2" w14:textId="1354E92C" w:rsidR="00444E6C" w:rsidRDefault="00444E6C" w:rsidP="00444E6C">
            <w:r>
              <w:rPr>
                <w:rFonts w:ascii="Calibri" w:hAnsi="Calibri" w:cs="Calibri"/>
                <w:color w:val="000000"/>
              </w:rPr>
              <w:t>13747218</w:t>
            </w:r>
          </w:p>
        </w:tc>
        <w:tc>
          <w:tcPr>
            <w:tcW w:w="804" w:type="dxa"/>
            <w:vAlign w:val="bottom"/>
          </w:tcPr>
          <w:p w14:paraId="1842A764" w14:textId="3B81FE3F" w:rsidR="00444E6C" w:rsidRDefault="00444E6C" w:rsidP="00444E6C">
            <w:r>
              <w:rPr>
                <w:rFonts w:ascii="Calibri" w:hAnsi="Calibri" w:cs="Calibri"/>
                <w:color w:val="000000"/>
              </w:rPr>
              <w:t>6572.565</w:t>
            </w:r>
          </w:p>
        </w:tc>
        <w:tc>
          <w:tcPr>
            <w:tcW w:w="572" w:type="dxa"/>
            <w:vAlign w:val="bottom"/>
          </w:tcPr>
          <w:p w14:paraId="501C6751" w14:textId="050398BF" w:rsidR="00444E6C" w:rsidRDefault="00444E6C" w:rsidP="00444E6C">
            <w:r>
              <w:rPr>
                <w:rFonts w:ascii="Calibri" w:hAnsi="Calibri" w:cs="Calibri"/>
                <w:color w:val="000000"/>
              </w:rPr>
              <w:t>13753791</w:t>
            </w:r>
          </w:p>
        </w:tc>
        <w:tc>
          <w:tcPr>
            <w:tcW w:w="527" w:type="dxa"/>
            <w:vAlign w:val="bottom"/>
          </w:tcPr>
          <w:p w14:paraId="6CB46CE8" w14:textId="76079367" w:rsidR="00444E6C" w:rsidRDefault="00444E6C" w:rsidP="00444E6C">
            <w:r>
              <w:rPr>
                <w:rFonts w:ascii="Calibri" w:hAnsi="Calibri" w:cs="Calibri"/>
                <w:color w:val="000000"/>
              </w:rPr>
              <w:t>2</w:t>
            </w:r>
          </w:p>
        </w:tc>
        <w:tc>
          <w:tcPr>
            <w:tcW w:w="677" w:type="dxa"/>
            <w:vAlign w:val="bottom"/>
          </w:tcPr>
          <w:p w14:paraId="60C3025B" w14:textId="1BAEC337" w:rsidR="00444E6C" w:rsidRDefault="00444E6C" w:rsidP="00444E6C">
            <w:r>
              <w:rPr>
                <w:rFonts w:ascii="Calibri" w:hAnsi="Calibri" w:cs="Calibri"/>
                <w:color w:val="000000"/>
              </w:rPr>
              <w:t>2023</w:t>
            </w:r>
          </w:p>
        </w:tc>
        <w:tc>
          <w:tcPr>
            <w:tcW w:w="756" w:type="dxa"/>
            <w:vAlign w:val="bottom"/>
          </w:tcPr>
          <w:p w14:paraId="343E437D" w14:textId="1A83E4EE" w:rsidR="00444E6C" w:rsidRDefault="00444E6C" w:rsidP="00444E6C">
            <w:r>
              <w:rPr>
                <w:rFonts w:ascii="Calibri" w:hAnsi="Calibri" w:cs="Calibri"/>
                <w:color w:val="000000"/>
              </w:rPr>
              <w:t>2</w:t>
            </w:r>
          </w:p>
        </w:tc>
        <w:tc>
          <w:tcPr>
            <w:tcW w:w="767" w:type="dxa"/>
            <w:vAlign w:val="bottom"/>
          </w:tcPr>
          <w:p w14:paraId="53AFD180" w14:textId="50F25108" w:rsidR="00444E6C" w:rsidRDefault="00444E6C" w:rsidP="00444E6C">
            <w:r>
              <w:rPr>
                <w:rFonts w:ascii="Calibri" w:hAnsi="Calibri" w:cs="Calibri"/>
                <w:color w:val="000000"/>
              </w:rPr>
              <w:t>2023</w:t>
            </w:r>
          </w:p>
        </w:tc>
        <w:tc>
          <w:tcPr>
            <w:tcW w:w="846" w:type="dxa"/>
            <w:vAlign w:val="bottom"/>
          </w:tcPr>
          <w:p w14:paraId="1B04F318" w14:textId="7B1B8030" w:rsidR="00444E6C" w:rsidRDefault="00444E6C" w:rsidP="00444E6C">
            <w:r>
              <w:rPr>
                <w:rFonts w:ascii="Calibri" w:hAnsi="Calibri" w:cs="Calibri"/>
                <w:color w:val="000000"/>
              </w:rPr>
              <w:t>1</w:t>
            </w:r>
          </w:p>
        </w:tc>
        <w:tc>
          <w:tcPr>
            <w:tcW w:w="825" w:type="dxa"/>
            <w:vAlign w:val="bottom"/>
          </w:tcPr>
          <w:p w14:paraId="27EEA029" w14:textId="69119AEF" w:rsidR="00444E6C" w:rsidRDefault="00444E6C" w:rsidP="00444E6C">
            <w:r>
              <w:rPr>
                <w:rFonts w:ascii="Calibri" w:hAnsi="Calibri" w:cs="Calibri"/>
                <w:color w:val="000000"/>
              </w:rPr>
              <w:t>1</w:t>
            </w:r>
          </w:p>
        </w:tc>
        <w:tc>
          <w:tcPr>
            <w:tcW w:w="747" w:type="dxa"/>
            <w:vAlign w:val="bottom"/>
          </w:tcPr>
          <w:p w14:paraId="08830077" w14:textId="6371B96F" w:rsidR="00444E6C" w:rsidRDefault="00444E6C" w:rsidP="00444E6C">
            <w:r>
              <w:rPr>
                <w:rFonts w:ascii="Calibri" w:hAnsi="Calibri" w:cs="Calibri"/>
                <w:color w:val="000000"/>
              </w:rPr>
              <w:t>31</w:t>
            </w:r>
          </w:p>
        </w:tc>
      </w:tr>
      <w:tr w:rsidR="000E2315" w14:paraId="4DCD379C" w14:textId="77777777" w:rsidTr="00B87AFE">
        <w:tc>
          <w:tcPr>
            <w:tcW w:w="524" w:type="dxa"/>
            <w:vAlign w:val="bottom"/>
          </w:tcPr>
          <w:p w14:paraId="659D5EA7" w14:textId="45C1094C" w:rsidR="000E2315" w:rsidRDefault="000E2315" w:rsidP="000E2315">
            <w:r>
              <w:rPr>
                <w:rFonts w:ascii="Calibri" w:hAnsi="Calibri" w:cs="Calibri"/>
                <w:color w:val="000000"/>
              </w:rPr>
              <w:t>1/31/2023</w:t>
            </w:r>
          </w:p>
        </w:tc>
        <w:tc>
          <w:tcPr>
            <w:tcW w:w="702" w:type="dxa"/>
            <w:vAlign w:val="bottom"/>
          </w:tcPr>
          <w:p w14:paraId="6145235A" w14:textId="198E8526" w:rsidR="000E2315" w:rsidRDefault="000E2315" w:rsidP="000E2315">
            <w:r>
              <w:rPr>
                <w:rFonts w:ascii="Calibri" w:hAnsi="Calibri" w:cs="Calibri"/>
                <w:color w:val="000000"/>
              </w:rPr>
              <w:t>Nonmarketable</w:t>
            </w:r>
          </w:p>
        </w:tc>
        <w:tc>
          <w:tcPr>
            <w:tcW w:w="708" w:type="dxa"/>
            <w:vAlign w:val="bottom"/>
          </w:tcPr>
          <w:p w14:paraId="346A291C" w14:textId="0B96C2CC" w:rsidR="000E2315" w:rsidRDefault="000E2315" w:rsidP="000E2315">
            <w:r>
              <w:rPr>
                <w:rFonts w:ascii="Calibri" w:hAnsi="Calibri" w:cs="Calibri"/>
                <w:color w:val="000000"/>
              </w:rPr>
              <w:t>Domestic Series</w:t>
            </w:r>
          </w:p>
        </w:tc>
        <w:tc>
          <w:tcPr>
            <w:tcW w:w="895" w:type="dxa"/>
            <w:vAlign w:val="bottom"/>
          </w:tcPr>
          <w:p w14:paraId="67B7E2D9" w14:textId="31BBC43B" w:rsidR="000E2315" w:rsidRDefault="000E2315" w:rsidP="000E2315">
            <w:r>
              <w:rPr>
                <w:rFonts w:ascii="Calibri" w:hAnsi="Calibri" w:cs="Calibri"/>
                <w:color w:val="000000"/>
              </w:rPr>
              <w:t>23818.82</w:t>
            </w:r>
          </w:p>
        </w:tc>
        <w:tc>
          <w:tcPr>
            <w:tcW w:w="804" w:type="dxa"/>
            <w:vAlign w:val="bottom"/>
          </w:tcPr>
          <w:p w14:paraId="14868A35" w14:textId="0B63E726" w:rsidR="000E2315" w:rsidRDefault="000E2315" w:rsidP="000E2315">
            <w:r>
              <w:rPr>
                <w:rFonts w:ascii="Calibri" w:hAnsi="Calibri" w:cs="Calibri"/>
                <w:color w:val="000000"/>
              </w:rPr>
              <w:t>0</w:t>
            </w:r>
          </w:p>
        </w:tc>
        <w:tc>
          <w:tcPr>
            <w:tcW w:w="572" w:type="dxa"/>
            <w:vAlign w:val="bottom"/>
          </w:tcPr>
          <w:p w14:paraId="0870D1E6" w14:textId="12A75CDF" w:rsidR="000E2315" w:rsidRDefault="000E2315" w:rsidP="000E2315">
            <w:r>
              <w:rPr>
                <w:rFonts w:ascii="Calibri" w:hAnsi="Calibri" w:cs="Calibri"/>
                <w:color w:val="000000"/>
              </w:rPr>
              <w:t>23818.82</w:t>
            </w:r>
          </w:p>
        </w:tc>
        <w:tc>
          <w:tcPr>
            <w:tcW w:w="527" w:type="dxa"/>
            <w:vAlign w:val="bottom"/>
          </w:tcPr>
          <w:p w14:paraId="6B311255" w14:textId="39A2961A" w:rsidR="000E2315" w:rsidRDefault="000E2315" w:rsidP="000E2315">
            <w:r>
              <w:rPr>
                <w:rFonts w:ascii="Calibri" w:hAnsi="Calibri" w:cs="Calibri"/>
                <w:color w:val="000000"/>
              </w:rPr>
              <w:t>8</w:t>
            </w:r>
          </w:p>
        </w:tc>
        <w:tc>
          <w:tcPr>
            <w:tcW w:w="677" w:type="dxa"/>
            <w:vAlign w:val="bottom"/>
          </w:tcPr>
          <w:p w14:paraId="54994668" w14:textId="2D653B0A" w:rsidR="000E2315" w:rsidRDefault="000E2315" w:rsidP="000E2315">
            <w:r>
              <w:rPr>
                <w:rFonts w:ascii="Calibri" w:hAnsi="Calibri" w:cs="Calibri"/>
                <w:color w:val="000000"/>
              </w:rPr>
              <w:t>2023</w:t>
            </w:r>
          </w:p>
        </w:tc>
        <w:tc>
          <w:tcPr>
            <w:tcW w:w="756" w:type="dxa"/>
            <w:vAlign w:val="bottom"/>
          </w:tcPr>
          <w:p w14:paraId="172EE39E" w14:textId="1F96AF13" w:rsidR="000E2315" w:rsidRDefault="000E2315" w:rsidP="000E2315">
            <w:r>
              <w:rPr>
                <w:rFonts w:ascii="Calibri" w:hAnsi="Calibri" w:cs="Calibri"/>
                <w:color w:val="000000"/>
              </w:rPr>
              <w:t>2</w:t>
            </w:r>
          </w:p>
        </w:tc>
        <w:tc>
          <w:tcPr>
            <w:tcW w:w="767" w:type="dxa"/>
            <w:vAlign w:val="bottom"/>
          </w:tcPr>
          <w:p w14:paraId="7CDEE416" w14:textId="72C72778" w:rsidR="000E2315" w:rsidRDefault="000E2315" w:rsidP="000E2315">
            <w:r>
              <w:rPr>
                <w:rFonts w:ascii="Calibri" w:hAnsi="Calibri" w:cs="Calibri"/>
                <w:color w:val="000000"/>
              </w:rPr>
              <w:t>2023</w:t>
            </w:r>
          </w:p>
        </w:tc>
        <w:tc>
          <w:tcPr>
            <w:tcW w:w="846" w:type="dxa"/>
            <w:vAlign w:val="bottom"/>
          </w:tcPr>
          <w:p w14:paraId="0DE108F8" w14:textId="5D420FF1" w:rsidR="000E2315" w:rsidRDefault="000E2315" w:rsidP="000E2315">
            <w:r>
              <w:rPr>
                <w:rFonts w:ascii="Calibri" w:hAnsi="Calibri" w:cs="Calibri"/>
                <w:color w:val="000000"/>
              </w:rPr>
              <w:t>1</w:t>
            </w:r>
          </w:p>
        </w:tc>
        <w:tc>
          <w:tcPr>
            <w:tcW w:w="825" w:type="dxa"/>
            <w:vAlign w:val="bottom"/>
          </w:tcPr>
          <w:p w14:paraId="0D21D801" w14:textId="4A6A7960" w:rsidR="000E2315" w:rsidRDefault="000E2315" w:rsidP="000E2315">
            <w:r>
              <w:rPr>
                <w:rFonts w:ascii="Calibri" w:hAnsi="Calibri" w:cs="Calibri"/>
                <w:color w:val="000000"/>
              </w:rPr>
              <w:t>1</w:t>
            </w:r>
          </w:p>
        </w:tc>
        <w:tc>
          <w:tcPr>
            <w:tcW w:w="747" w:type="dxa"/>
            <w:vAlign w:val="bottom"/>
          </w:tcPr>
          <w:p w14:paraId="666863E5" w14:textId="71BF3622" w:rsidR="000E2315" w:rsidRDefault="000E2315" w:rsidP="000E2315">
            <w:r>
              <w:rPr>
                <w:rFonts w:ascii="Calibri" w:hAnsi="Calibri" w:cs="Calibri"/>
                <w:color w:val="000000"/>
              </w:rPr>
              <w:t>31</w:t>
            </w:r>
          </w:p>
        </w:tc>
      </w:tr>
      <w:tr w:rsidR="000E2315" w14:paraId="53A8B824" w14:textId="77777777" w:rsidTr="00615750">
        <w:tc>
          <w:tcPr>
            <w:tcW w:w="524" w:type="dxa"/>
            <w:vAlign w:val="bottom"/>
          </w:tcPr>
          <w:p w14:paraId="54DB3955" w14:textId="70BA46C3" w:rsidR="000E2315" w:rsidRDefault="000E2315" w:rsidP="000E2315">
            <w:r>
              <w:rPr>
                <w:rFonts w:ascii="Calibri" w:hAnsi="Calibri" w:cs="Calibri"/>
                <w:color w:val="000000"/>
              </w:rPr>
              <w:t>1/31/2023</w:t>
            </w:r>
          </w:p>
        </w:tc>
        <w:tc>
          <w:tcPr>
            <w:tcW w:w="702" w:type="dxa"/>
            <w:vAlign w:val="bottom"/>
          </w:tcPr>
          <w:p w14:paraId="79334DAA" w14:textId="3539A2FF" w:rsidR="000E2315" w:rsidRDefault="000E2315" w:rsidP="000E2315">
            <w:r>
              <w:rPr>
                <w:rFonts w:ascii="Calibri" w:hAnsi="Calibri" w:cs="Calibri"/>
                <w:color w:val="000000"/>
              </w:rPr>
              <w:t>Nonmarketable</w:t>
            </w:r>
          </w:p>
        </w:tc>
        <w:tc>
          <w:tcPr>
            <w:tcW w:w="708" w:type="dxa"/>
            <w:vAlign w:val="bottom"/>
          </w:tcPr>
          <w:p w14:paraId="40376027" w14:textId="7F2EE9B9" w:rsidR="000E2315" w:rsidRDefault="000E2315" w:rsidP="000E2315">
            <w:r>
              <w:rPr>
                <w:rFonts w:ascii="Calibri" w:hAnsi="Calibri" w:cs="Calibri"/>
                <w:color w:val="000000"/>
              </w:rPr>
              <w:t>State and Local Government Series</w:t>
            </w:r>
          </w:p>
        </w:tc>
        <w:tc>
          <w:tcPr>
            <w:tcW w:w="895" w:type="dxa"/>
            <w:vAlign w:val="bottom"/>
          </w:tcPr>
          <w:p w14:paraId="27709980" w14:textId="45C95D49" w:rsidR="000E2315" w:rsidRDefault="000E2315" w:rsidP="000E2315">
            <w:r>
              <w:rPr>
                <w:rFonts w:ascii="Calibri" w:hAnsi="Calibri" w:cs="Calibri"/>
                <w:color w:val="000000"/>
              </w:rPr>
              <w:t>99115.32</w:t>
            </w:r>
          </w:p>
        </w:tc>
        <w:tc>
          <w:tcPr>
            <w:tcW w:w="804" w:type="dxa"/>
            <w:vAlign w:val="bottom"/>
          </w:tcPr>
          <w:p w14:paraId="25BD9B78" w14:textId="590C95C1" w:rsidR="000E2315" w:rsidRDefault="000E2315" w:rsidP="000E2315">
            <w:r>
              <w:rPr>
                <w:rFonts w:ascii="Calibri" w:hAnsi="Calibri" w:cs="Calibri"/>
                <w:color w:val="000000"/>
              </w:rPr>
              <w:t>0</w:t>
            </w:r>
          </w:p>
        </w:tc>
        <w:tc>
          <w:tcPr>
            <w:tcW w:w="572" w:type="dxa"/>
            <w:vAlign w:val="bottom"/>
          </w:tcPr>
          <w:p w14:paraId="76020782" w14:textId="52D9FDF4" w:rsidR="000E2315" w:rsidRDefault="000E2315" w:rsidP="000E2315">
            <w:r>
              <w:rPr>
                <w:rFonts w:ascii="Calibri" w:hAnsi="Calibri" w:cs="Calibri"/>
                <w:color w:val="000000"/>
              </w:rPr>
              <w:t>99115.32</w:t>
            </w:r>
          </w:p>
        </w:tc>
        <w:tc>
          <w:tcPr>
            <w:tcW w:w="527" w:type="dxa"/>
            <w:vAlign w:val="bottom"/>
          </w:tcPr>
          <w:p w14:paraId="46E6F9EA" w14:textId="0FF0689D" w:rsidR="000E2315" w:rsidRDefault="000E2315" w:rsidP="000E2315">
            <w:r>
              <w:rPr>
                <w:rFonts w:ascii="Calibri" w:hAnsi="Calibri" w:cs="Calibri"/>
                <w:color w:val="000000"/>
              </w:rPr>
              <w:t>10</w:t>
            </w:r>
          </w:p>
        </w:tc>
        <w:tc>
          <w:tcPr>
            <w:tcW w:w="677" w:type="dxa"/>
            <w:vAlign w:val="bottom"/>
          </w:tcPr>
          <w:p w14:paraId="260E713B" w14:textId="14EA02E3" w:rsidR="000E2315" w:rsidRDefault="000E2315" w:rsidP="000E2315">
            <w:r>
              <w:rPr>
                <w:rFonts w:ascii="Calibri" w:hAnsi="Calibri" w:cs="Calibri"/>
                <w:color w:val="000000"/>
              </w:rPr>
              <w:t>2023</w:t>
            </w:r>
          </w:p>
        </w:tc>
        <w:tc>
          <w:tcPr>
            <w:tcW w:w="756" w:type="dxa"/>
            <w:vAlign w:val="bottom"/>
          </w:tcPr>
          <w:p w14:paraId="131ABB81" w14:textId="707D8C9D" w:rsidR="000E2315" w:rsidRDefault="000E2315" w:rsidP="000E2315">
            <w:r>
              <w:rPr>
                <w:rFonts w:ascii="Calibri" w:hAnsi="Calibri" w:cs="Calibri"/>
                <w:color w:val="000000"/>
              </w:rPr>
              <w:t>2</w:t>
            </w:r>
          </w:p>
        </w:tc>
        <w:tc>
          <w:tcPr>
            <w:tcW w:w="767" w:type="dxa"/>
            <w:vAlign w:val="bottom"/>
          </w:tcPr>
          <w:p w14:paraId="0397F9E4" w14:textId="1B884E2F" w:rsidR="000E2315" w:rsidRDefault="000E2315" w:rsidP="000E2315">
            <w:r>
              <w:rPr>
                <w:rFonts w:ascii="Calibri" w:hAnsi="Calibri" w:cs="Calibri"/>
                <w:color w:val="000000"/>
              </w:rPr>
              <w:t>2023</w:t>
            </w:r>
          </w:p>
        </w:tc>
        <w:tc>
          <w:tcPr>
            <w:tcW w:w="846" w:type="dxa"/>
            <w:vAlign w:val="bottom"/>
          </w:tcPr>
          <w:p w14:paraId="785A51E1" w14:textId="572C3152" w:rsidR="000E2315" w:rsidRDefault="000E2315" w:rsidP="000E2315">
            <w:r>
              <w:rPr>
                <w:rFonts w:ascii="Calibri" w:hAnsi="Calibri" w:cs="Calibri"/>
                <w:color w:val="000000"/>
              </w:rPr>
              <w:t>1</w:t>
            </w:r>
          </w:p>
        </w:tc>
        <w:tc>
          <w:tcPr>
            <w:tcW w:w="825" w:type="dxa"/>
            <w:vAlign w:val="bottom"/>
          </w:tcPr>
          <w:p w14:paraId="3C040B77" w14:textId="556D053B" w:rsidR="000E2315" w:rsidRDefault="000E2315" w:rsidP="000E2315">
            <w:r>
              <w:rPr>
                <w:rFonts w:ascii="Calibri" w:hAnsi="Calibri" w:cs="Calibri"/>
                <w:color w:val="000000"/>
              </w:rPr>
              <w:t>1</w:t>
            </w:r>
          </w:p>
        </w:tc>
        <w:tc>
          <w:tcPr>
            <w:tcW w:w="747" w:type="dxa"/>
            <w:vAlign w:val="bottom"/>
          </w:tcPr>
          <w:p w14:paraId="0238AF46" w14:textId="526E9E98" w:rsidR="000E2315" w:rsidRDefault="000E2315" w:rsidP="000E2315">
            <w:r>
              <w:rPr>
                <w:rFonts w:ascii="Calibri" w:hAnsi="Calibri" w:cs="Calibri"/>
                <w:color w:val="000000"/>
              </w:rPr>
              <w:t>31</w:t>
            </w:r>
          </w:p>
        </w:tc>
      </w:tr>
    </w:tbl>
    <w:p w14:paraId="2D0B25D3" w14:textId="77777777" w:rsidR="007C67B8" w:rsidRDefault="007C67B8" w:rsidP="002D15E3"/>
    <w:p w14:paraId="7830757D" w14:textId="77777777" w:rsidR="00C13F58" w:rsidRDefault="00C13F58" w:rsidP="00C13F58">
      <w:pPr>
        <w:rPr>
          <w:b/>
          <w:bCs/>
          <w:sz w:val="24"/>
          <w:szCs w:val="24"/>
        </w:rPr>
      </w:pPr>
      <w:r w:rsidRPr="00DA538C">
        <w:rPr>
          <w:b/>
          <w:bCs/>
          <w:sz w:val="24"/>
          <w:szCs w:val="24"/>
        </w:rPr>
        <w:t>Null Columns from the Dataset:</w:t>
      </w:r>
    </w:p>
    <w:p w14:paraId="636E802A" w14:textId="654B00FF" w:rsidR="00B46AAC" w:rsidRDefault="00B0212A" w:rsidP="002D15E3">
      <w:r>
        <w:t xml:space="preserve">There are no null </w:t>
      </w:r>
      <w:r w:rsidR="00CC3B24">
        <w:t xml:space="preserve">values present </w:t>
      </w:r>
      <w:r>
        <w:t>in this dataset</w:t>
      </w:r>
      <w:r w:rsidR="00CC3B24">
        <w:t>, all the columns ha</w:t>
      </w:r>
      <w:r w:rsidR="004A3456">
        <w:t>ve the value for every record made in it.</w:t>
      </w:r>
    </w:p>
    <w:p w14:paraId="50539C25" w14:textId="77777777" w:rsidR="008658BE" w:rsidRDefault="008658BE" w:rsidP="002D15E3"/>
    <w:p w14:paraId="1B74BE67" w14:textId="11642333" w:rsidR="00D26ACF" w:rsidRDefault="00D26ACF" w:rsidP="002D15E3">
      <w:r w:rsidRPr="00D26ACF">
        <w:rPr>
          <w:noProof/>
        </w:rPr>
        <w:drawing>
          <wp:inline distT="0" distB="0" distL="0" distR="0" wp14:anchorId="49A713A6" wp14:editId="58577B15">
            <wp:extent cx="5943600" cy="2114550"/>
            <wp:effectExtent l="0" t="0" r="0" b="0"/>
            <wp:docPr id="84381116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11169" name="Picture 1" descr="A graph of a graph&#10;&#10;Description automatically generated with medium confidence"/>
                    <pic:cNvPicPr/>
                  </pic:nvPicPr>
                  <pic:blipFill>
                    <a:blip r:embed="rId8"/>
                    <a:stretch>
                      <a:fillRect/>
                    </a:stretch>
                  </pic:blipFill>
                  <pic:spPr>
                    <a:xfrm>
                      <a:off x="0" y="0"/>
                      <a:ext cx="5943600" cy="2114550"/>
                    </a:xfrm>
                    <a:prstGeom prst="rect">
                      <a:avLst/>
                    </a:prstGeom>
                  </pic:spPr>
                </pic:pic>
              </a:graphicData>
            </a:graphic>
          </wp:inline>
        </w:drawing>
      </w:r>
    </w:p>
    <w:p w14:paraId="18783B8B" w14:textId="77777777" w:rsidR="0072430A" w:rsidRPr="00E372EF" w:rsidRDefault="0072430A" w:rsidP="0072430A">
      <w:r w:rsidRPr="00E372EF">
        <w:rPr>
          <w:b/>
          <w:bCs/>
          <w:sz w:val="28"/>
          <w:szCs w:val="28"/>
        </w:rPr>
        <w:lastRenderedPageBreak/>
        <w:t>Univariate Analysis:</w:t>
      </w:r>
    </w:p>
    <w:p w14:paraId="5790F7CC" w14:textId="77777777" w:rsidR="0072430A" w:rsidRDefault="0072430A" w:rsidP="0072430A">
      <w:pPr>
        <w:rPr>
          <w:b/>
          <w:bCs/>
          <w:sz w:val="24"/>
          <w:szCs w:val="24"/>
        </w:rPr>
      </w:pPr>
      <w:r w:rsidRPr="006A0D9E">
        <w:rPr>
          <w:b/>
          <w:bCs/>
          <w:sz w:val="24"/>
          <w:szCs w:val="24"/>
        </w:rPr>
        <w:t>Numeric Variable</w:t>
      </w:r>
    </w:p>
    <w:tbl>
      <w:tblPr>
        <w:tblStyle w:val="TableGrid"/>
        <w:tblW w:w="0" w:type="auto"/>
        <w:tblLook w:val="04A0" w:firstRow="1" w:lastRow="0" w:firstColumn="1" w:lastColumn="0" w:noHBand="0" w:noVBand="1"/>
      </w:tblPr>
      <w:tblGrid>
        <w:gridCol w:w="2098"/>
        <w:gridCol w:w="2681"/>
        <w:gridCol w:w="2355"/>
        <w:gridCol w:w="2216"/>
      </w:tblGrid>
      <w:tr w:rsidR="00A170EC" w14:paraId="3CD04D53" w14:textId="77777777" w:rsidTr="00A170EC">
        <w:tc>
          <w:tcPr>
            <w:tcW w:w="2337" w:type="dxa"/>
          </w:tcPr>
          <w:p w14:paraId="5CA6EE00" w14:textId="51CE2047" w:rsidR="00A170EC" w:rsidRDefault="00A170EC" w:rsidP="00A170EC">
            <w:pPr>
              <w:rPr>
                <w:b/>
                <w:bCs/>
                <w:sz w:val="24"/>
                <w:szCs w:val="24"/>
              </w:rPr>
            </w:pPr>
            <w:r>
              <w:rPr>
                <w:b/>
                <w:bCs/>
              </w:rPr>
              <w:t xml:space="preserve">                </w:t>
            </w:r>
          </w:p>
        </w:tc>
        <w:tc>
          <w:tcPr>
            <w:tcW w:w="2337" w:type="dxa"/>
          </w:tcPr>
          <w:p w14:paraId="0B054DD2" w14:textId="5C689374" w:rsidR="00A170EC" w:rsidRDefault="00A170EC" w:rsidP="00A170EC">
            <w:pPr>
              <w:rPr>
                <w:b/>
                <w:bCs/>
                <w:sz w:val="24"/>
                <w:szCs w:val="24"/>
              </w:rPr>
            </w:pPr>
            <w:proofErr w:type="spellStart"/>
            <w:r w:rsidRPr="00A24BE4">
              <w:rPr>
                <w:b/>
                <w:bCs/>
              </w:rPr>
              <w:t>debt_held_public_mil_amt</w:t>
            </w:r>
            <w:proofErr w:type="spellEnd"/>
          </w:p>
        </w:tc>
        <w:tc>
          <w:tcPr>
            <w:tcW w:w="2338" w:type="dxa"/>
          </w:tcPr>
          <w:p w14:paraId="65872044" w14:textId="16F27C96" w:rsidR="00A170EC" w:rsidRDefault="00A170EC" w:rsidP="00A170EC">
            <w:pPr>
              <w:rPr>
                <w:b/>
                <w:bCs/>
                <w:sz w:val="24"/>
                <w:szCs w:val="24"/>
              </w:rPr>
            </w:pPr>
            <w:proofErr w:type="spellStart"/>
            <w:r w:rsidRPr="00A24BE4">
              <w:rPr>
                <w:b/>
                <w:bCs/>
              </w:rPr>
              <w:t>intragov_hold_mil_amt</w:t>
            </w:r>
            <w:proofErr w:type="spellEnd"/>
          </w:p>
        </w:tc>
        <w:tc>
          <w:tcPr>
            <w:tcW w:w="2338" w:type="dxa"/>
          </w:tcPr>
          <w:p w14:paraId="0BEDCCA3" w14:textId="2868AFC5" w:rsidR="00A170EC" w:rsidRDefault="00A170EC" w:rsidP="00A170EC">
            <w:pPr>
              <w:rPr>
                <w:b/>
                <w:bCs/>
                <w:sz w:val="24"/>
                <w:szCs w:val="24"/>
              </w:rPr>
            </w:pPr>
            <w:proofErr w:type="spellStart"/>
            <w:r w:rsidRPr="00A24BE4">
              <w:rPr>
                <w:b/>
                <w:bCs/>
              </w:rPr>
              <w:t>total_mil_amt</w:t>
            </w:r>
            <w:proofErr w:type="spellEnd"/>
            <w:r w:rsidRPr="00A24BE4">
              <w:rPr>
                <w:b/>
                <w:bCs/>
              </w:rPr>
              <w:t xml:space="preserve">  </w:t>
            </w:r>
          </w:p>
        </w:tc>
      </w:tr>
      <w:tr w:rsidR="00A170EC" w14:paraId="10B2261A" w14:textId="77777777" w:rsidTr="00A170EC">
        <w:tc>
          <w:tcPr>
            <w:tcW w:w="2337" w:type="dxa"/>
          </w:tcPr>
          <w:p w14:paraId="1E334744" w14:textId="44A7882C" w:rsidR="00A170EC" w:rsidRDefault="00A170EC" w:rsidP="00A170EC">
            <w:pPr>
              <w:rPr>
                <w:b/>
                <w:bCs/>
                <w:sz w:val="24"/>
                <w:szCs w:val="24"/>
              </w:rPr>
            </w:pPr>
            <w:r w:rsidRPr="00A24BE4">
              <w:t>count</w:t>
            </w:r>
          </w:p>
        </w:tc>
        <w:tc>
          <w:tcPr>
            <w:tcW w:w="2337" w:type="dxa"/>
          </w:tcPr>
          <w:p w14:paraId="3041B493" w14:textId="06E367F5" w:rsidR="00A170EC" w:rsidRDefault="00A170EC" w:rsidP="00A170EC">
            <w:pPr>
              <w:rPr>
                <w:b/>
                <w:bCs/>
                <w:sz w:val="24"/>
                <w:szCs w:val="24"/>
              </w:rPr>
            </w:pPr>
            <w:r w:rsidRPr="00A24BE4">
              <w:t>4,169.00</w:t>
            </w:r>
          </w:p>
        </w:tc>
        <w:tc>
          <w:tcPr>
            <w:tcW w:w="2338" w:type="dxa"/>
          </w:tcPr>
          <w:p w14:paraId="63B94012" w14:textId="07E7CF4A" w:rsidR="00A170EC" w:rsidRDefault="001863E5" w:rsidP="00A170EC">
            <w:pPr>
              <w:rPr>
                <w:b/>
                <w:bCs/>
                <w:sz w:val="24"/>
                <w:szCs w:val="24"/>
              </w:rPr>
            </w:pPr>
            <w:r w:rsidRPr="00A24BE4">
              <w:t>4,169.00</w:t>
            </w:r>
          </w:p>
        </w:tc>
        <w:tc>
          <w:tcPr>
            <w:tcW w:w="2338" w:type="dxa"/>
          </w:tcPr>
          <w:p w14:paraId="54DBD61E" w14:textId="65F65D5E" w:rsidR="00A170EC" w:rsidRDefault="001863E5" w:rsidP="00A170EC">
            <w:pPr>
              <w:rPr>
                <w:b/>
                <w:bCs/>
                <w:sz w:val="24"/>
                <w:szCs w:val="24"/>
              </w:rPr>
            </w:pPr>
            <w:r w:rsidRPr="00A24BE4">
              <w:t>4,169.00</w:t>
            </w:r>
          </w:p>
        </w:tc>
      </w:tr>
      <w:tr w:rsidR="00A170EC" w14:paraId="064761CD" w14:textId="77777777" w:rsidTr="00A170EC">
        <w:tc>
          <w:tcPr>
            <w:tcW w:w="2337" w:type="dxa"/>
          </w:tcPr>
          <w:p w14:paraId="1D6C67D3" w14:textId="6BEE7692" w:rsidR="00A170EC" w:rsidRDefault="00A170EC" w:rsidP="00A170EC">
            <w:pPr>
              <w:rPr>
                <w:b/>
                <w:bCs/>
                <w:sz w:val="24"/>
                <w:szCs w:val="24"/>
              </w:rPr>
            </w:pPr>
            <w:r w:rsidRPr="00A24BE4">
              <w:t>mean</w:t>
            </w:r>
          </w:p>
        </w:tc>
        <w:tc>
          <w:tcPr>
            <w:tcW w:w="2337" w:type="dxa"/>
          </w:tcPr>
          <w:p w14:paraId="62D7BBDA" w14:textId="7FC9FBFF" w:rsidR="00A170EC" w:rsidRDefault="001863E5" w:rsidP="00A170EC">
            <w:pPr>
              <w:rPr>
                <w:b/>
                <w:bCs/>
                <w:sz w:val="24"/>
                <w:szCs w:val="24"/>
              </w:rPr>
            </w:pPr>
            <w:r w:rsidRPr="00A24BE4">
              <w:t>2,204,889.00</w:t>
            </w:r>
          </w:p>
        </w:tc>
        <w:tc>
          <w:tcPr>
            <w:tcW w:w="2338" w:type="dxa"/>
          </w:tcPr>
          <w:p w14:paraId="094E8EDD" w14:textId="13095699" w:rsidR="00A170EC" w:rsidRDefault="001863E5" w:rsidP="00A170EC">
            <w:pPr>
              <w:rPr>
                <w:b/>
                <w:bCs/>
                <w:sz w:val="24"/>
                <w:szCs w:val="24"/>
              </w:rPr>
            </w:pPr>
            <w:r w:rsidRPr="00A24BE4">
              <w:t>914,050.30</w:t>
            </w:r>
          </w:p>
        </w:tc>
        <w:tc>
          <w:tcPr>
            <w:tcW w:w="2338" w:type="dxa"/>
          </w:tcPr>
          <w:p w14:paraId="25CB60A5" w14:textId="4E101E8D" w:rsidR="00A170EC" w:rsidRDefault="001863E5" w:rsidP="00A170EC">
            <w:pPr>
              <w:rPr>
                <w:b/>
                <w:bCs/>
                <w:sz w:val="24"/>
                <w:szCs w:val="24"/>
              </w:rPr>
            </w:pPr>
            <w:r w:rsidRPr="00A24BE4">
              <w:t xml:space="preserve">3,118,939.00   </w:t>
            </w:r>
          </w:p>
        </w:tc>
      </w:tr>
      <w:tr w:rsidR="00A170EC" w14:paraId="2EE39574" w14:textId="77777777" w:rsidTr="00A170EC">
        <w:tc>
          <w:tcPr>
            <w:tcW w:w="2337" w:type="dxa"/>
          </w:tcPr>
          <w:p w14:paraId="7B7FB05D" w14:textId="4CEBEF86" w:rsidR="00A170EC" w:rsidRDefault="00A170EC" w:rsidP="00A170EC">
            <w:pPr>
              <w:rPr>
                <w:b/>
                <w:bCs/>
                <w:sz w:val="24"/>
                <w:szCs w:val="24"/>
              </w:rPr>
            </w:pPr>
            <w:r w:rsidRPr="00A24BE4">
              <w:t xml:space="preserve">std  </w:t>
            </w:r>
          </w:p>
        </w:tc>
        <w:tc>
          <w:tcPr>
            <w:tcW w:w="2337" w:type="dxa"/>
          </w:tcPr>
          <w:p w14:paraId="6C9DD725" w14:textId="423C8586" w:rsidR="00A170EC" w:rsidRDefault="001863E5" w:rsidP="00A170EC">
            <w:pPr>
              <w:rPr>
                <w:b/>
                <w:bCs/>
                <w:sz w:val="24"/>
                <w:szCs w:val="24"/>
              </w:rPr>
            </w:pPr>
            <w:r w:rsidRPr="00A24BE4">
              <w:t>4,563,186.00</w:t>
            </w:r>
          </w:p>
        </w:tc>
        <w:tc>
          <w:tcPr>
            <w:tcW w:w="2338" w:type="dxa"/>
          </w:tcPr>
          <w:p w14:paraId="7E538DEA" w14:textId="78FB2208" w:rsidR="00A170EC" w:rsidRDefault="001863E5" w:rsidP="00A170EC">
            <w:pPr>
              <w:rPr>
                <w:b/>
                <w:bCs/>
                <w:sz w:val="24"/>
                <w:szCs w:val="24"/>
              </w:rPr>
            </w:pPr>
            <w:r w:rsidRPr="00A24BE4">
              <w:t>1,922,878.00</w:t>
            </w:r>
          </w:p>
        </w:tc>
        <w:tc>
          <w:tcPr>
            <w:tcW w:w="2338" w:type="dxa"/>
          </w:tcPr>
          <w:p w14:paraId="6678445D" w14:textId="5550B7A4" w:rsidR="00A170EC" w:rsidRDefault="001863E5" w:rsidP="00A170EC">
            <w:pPr>
              <w:rPr>
                <w:b/>
                <w:bCs/>
                <w:sz w:val="24"/>
                <w:szCs w:val="24"/>
              </w:rPr>
            </w:pPr>
            <w:r w:rsidRPr="00A24BE4">
              <w:t xml:space="preserve">5,366,425.00   </w:t>
            </w:r>
          </w:p>
        </w:tc>
      </w:tr>
      <w:tr w:rsidR="00A170EC" w14:paraId="36492824" w14:textId="77777777" w:rsidTr="00A170EC">
        <w:tc>
          <w:tcPr>
            <w:tcW w:w="2337" w:type="dxa"/>
          </w:tcPr>
          <w:p w14:paraId="6BE94BAB" w14:textId="0DAC7B47" w:rsidR="00A170EC" w:rsidRDefault="00A170EC" w:rsidP="00A170EC">
            <w:pPr>
              <w:rPr>
                <w:b/>
                <w:bCs/>
                <w:sz w:val="24"/>
                <w:szCs w:val="24"/>
              </w:rPr>
            </w:pPr>
            <w:r w:rsidRPr="00A24BE4">
              <w:t>min</w:t>
            </w:r>
          </w:p>
        </w:tc>
        <w:tc>
          <w:tcPr>
            <w:tcW w:w="2337" w:type="dxa"/>
          </w:tcPr>
          <w:p w14:paraId="7008D8BA" w14:textId="62AA974F" w:rsidR="00A170EC" w:rsidRDefault="001863E5" w:rsidP="00A170EC">
            <w:pPr>
              <w:rPr>
                <w:b/>
                <w:bCs/>
                <w:sz w:val="24"/>
                <w:szCs w:val="24"/>
              </w:rPr>
            </w:pPr>
            <w:r w:rsidRPr="00A24BE4">
              <w:t>0.00</w:t>
            </w:r>
          </w:p>
        </w:tc>
        <w:tc>
          <w:tcPr>
            <w:tcW w:w="2338" w:type="dxa"/>
          </w:tcPr>
          <w:p w14:paraId="1E6F5048" w14:textId="7508E7BC" w:rsidR="00A170EC" w:rsidRDefault="001863E5" w:rsidP="00A170EC">
            <w:pPr>
              <w:rPr>
                <w:b/>
                <w:bCs/>
                <w:sz w:val="24"/>
                <w:szCs w:val="24"/>
              </w:rPr>
            </w:pPr>
            <w:r w:rsidRPr="00A24BE4">
              <w:t>0.00</w:t>
            </w:r>
          </w:p>
        </w:tc>
        <w:tc>
          <w:tcPr>
            <w:tcW w:w="2338" w:type="dxa"/>
          </w:tcPr>
          <w:p w14:paraId="2F67A59C" w14:textId="543D4839" w:rsidR="00A170EC" w:rsidRDefault="001863E5" w:rsidP="00A170EC">
            <w:pPr>
              <w:rPr>
                <w:b/>
                <w:bCs/>
                <w:sz w:val="24"/>
                <w:szCs w:val="24"/>
              </w:rPr>
            </w:pPr>
            <w:r w:rsidRPr="00A24BE4">
              <w:t xml:space="preserve">0.00   </w:t>
            </w:r>
          </w:p>
        </w:tc>
      </w:tr>
      <w:tr w:rsidR="00A170EC" w14:paraId="771DAEA4" w14:textId="77777777" w:rsidTr="00A170EC">
        <w:tc>
          <w:tcPr>
            <w:tcW w:w="2337" w:type="dxa"/>
          </w:tcPr>
          <w:p w14:paraId="2F95B815" w14:textId="459CFE57" w:rsidR="00A170EC" w:rsidRDefault="00A170EC" w:rsidP="00A170EC">
            <w:pPr>
              <w:rPr>
                <w:b/>
                <w:bCs/>
                <w:sz w:val="24"/>
                <w:szCs w:val="24"/>
              </w:rPr>
            </w:pPr>
            <w:r w:rsidRPr="00A24BE4">
              <w:t>25%</w:t>
            </w:r>
          </w:p>
        </w:tc>
        <w:tc>
          <w:tcPr>
            <w:tcW w:w="2337" w:type="dxa"/>
          </w:tcPr>
          <w:p w14:paraId="1DC3D0A7" w14:textId="4A04082C" w:rsidR="00A170EC" w:rsidRDefault="001863E5" w:rsidP="00A170EC">
            <w:pPr>
              <w:rPr>
                <w:b/>
                <w:bCs/>
                <w:sz w:val="24"/>
                <w:szCs w:val="24"/>
              </w:rPr>
            </w:pPr>
            <w:r w:rsidRPr="00A24BE4">
              <w:t>28,000.17</w:t>
            </w:r>
          </w:p>
        </w:tc>
        <w:tc>
          <w:tcPr>
            <w:tcW w:w="2338" w:type="dxa"/>
          </w:tcPr>
          <w:p w14:paraId="7C285408" w14:textId="229A17E0" w:rsidR="00A170EC" w:rsidRDefault="001863E5" w:rsidP="00A170EC">
            <w:pPr>
              <w:rPr>
                <w:b/>
                <w:bCs/>
                <w:sz w:val="24"/>
                <w:szCs w:val="24"/>
              </w:rPr>
            </w:pPr>
            <w:r w:rsidRPr="00A24BE4">
              <w:t>0.00</w:t>
            </w:r>
          </w:p>
        </w:tc>
        <w:tc>
          <w:tcPr>
            <w:tcW w:w="2338" w:type="dxa"/>
          </w:tcPr>
          <w:p w14:paraId="322CAE0B" w14:textId="0F0C2660" w:rsidR="00A170EC" w:rsidRDefault="00D47ADA" w:rsidP="00A170EC">
            <w:pPr>
              <w:rPr>
                <w:b/>
                <w:bCs/>
                <w:sz w:val="24"/>
                <w:szCs w:val="24"/>
              </w:rPr>
            </w:pPr>
            <w:r w:rsidRPr="00A24BE4">
              <w:t xml:space="preserve">29,995.18   </w:t>
            </w:r>
          </w:p>
        </w:tc>
      </w:tr>
      <w:tr w:rsidR="00A170EC" w14:paraId="4319FD82" w14:textId="77777777" w:rsidTr="00A170EC">
        <w:tc>
          <w:tcPr>
            <w:tcW w:w="2337" w:type="dxa"/>
          </w:tcPr>
          <w:p w14:paraId="48C1B0D4" w14:textId="6529ED8F" w:rsidR="00A170EC" w:rsidRDefault="00A170EC" w:rsidP="00A170EC">
            <w:pPr>
              <w:rPr>
                <w:b/>
                <w:bCs/>
                <w:sz w:val="24"/>
                <w:szCs w:val="24"/>
              </w:rPr>
            </w:pPr>
            <w:r w:rsidRPr="00A24BE4">
              <w:t>50%</w:t>
            </w:r>
          </w:p>
        </w:tc>
        <w:tc>
          <w:tcPr>
            <w:tcW w:w="2337" w:type="dxa"/>
          </w:tcPr>
          <w:p w14:paraId="49A99A8B" w14:textId="30B32EF6" w:rsidR="00A170EC" w:rsidRDefault="001863E5" w:rsidP="00A170EC">
            <w:pPr>
              <w:rPr>
                <w:b/>
                <w:bCs/>
                <w:sz w:val="24"/>
                <w:szCs w:val="24"/>
              </w:rPr>
            </w:pPr>
            <w:r w:rsidRPr="00A24BE4">
              <w:t>220,189.20</w:t>
            </w:r>
          </w:p>
        </w:tc>
        <w:tc>
          <w:tcPr>
            <w:tcW w:w="2338" w:type="dxa"/>
          </w:tcPr>
          <w:p w14:paraId="0A9AA50F" w14:textId="6461FEF6" w:rsidR="00A170EC" w:rsidRDefault="001863E5" w:rsidP="00A170EC">
            <w:pPr>
              <w:rPr>
                <w:b/>
                <w:bCs/>
                <w:sz w:val="24"/>
                <w:szCs w:val="24"/>
              </w:rPr>
            </w:pPr>
            <w:r w:rsidRPr="00A24BE4">
              <w:t>359.87</w:t>
            </w:r>
          </w:p>
        </w:tc>
        <w:tc>
          <w:tcPr>
            <w:tcW w:w="2338" w:type="dxa"/>
          </w:tcPr>
          <w:p w14:paraId="69BAECC4" w14:textId="7C443C10" w:rsidR="00A170EC" w:rsidRDefault="00D47ADA" w:rsidP="00A170EC">
            <w:pPr>
              <w:rPr>
                <w:b/>
                <w:bCs/>
                <w:sz w:val="24"/>
                <w:szCs w:val="24"/>
              </w:rPr>
            </w:pPr>
            <w:r w:rsidRPr="00A24BE4">
              <w:t xml:space="preserve">539,542.70   </w:t>
            </w:r>
          </w:p>
        </w:tc>
      </w:tr>
      <w:tr w:rsidR="00A170EC" w14:paraId="59F56C9D" w14:textId="77777777" w:rsidTr="00A170EC">
        <w:tc>
          <w:tcPr>
            <w:tcW w:w="2337" w:type="dxa"/>
          </w:tcPr>
          <w:p w14:paraId="571F4A0E" w14:textId="52CB77E4" w:rsidR="00A170EC" w:rsidRDefault="00A170EC" w:rsidP="00A170EC">
            <w:pPr>
              <w:rPr>
                <w:b/>
                <w:bCs/>
                <w:sz w:val="24"/>
                <w:szCs w:val="24"/>
              </w:rPr>
            </w:pPr>
            <w:r w:rsidRPr="00A24BE4">
              <w:t>75%</w:t>
            </w:r>
          </w:p>
        </w:tc>
        <w:tc>
          <w:tcPr>
            <w:tcW w:w="2337" w:type="dxa"/>
          </w:tcPr>
          <w:p w14:paraId="6668CF27" w14:textId="5FF1AECD" w:rsidR="00A170EC" w:rsidRDefault="001863E5" w:rsidP="00A170EC">
            <w:pPr>
              <w:rPr>
                <w:b/>
                <w:bCs/>
                <w:sz w:val="24"/>
                <w:szCs w:val="24"/>
              </w:rPr>
            </w:pPr>
            <w:r w:rsidRPr="00A24BE4">
              <w:t>1,630,684.80</w:t>
            </w:r>
          </w:p>
        </w:tc>
        <w:tc>
          <w:tcPr>
            <w:tcW w:w="2338" w:type="dxa"/>
          </w:tcPr>
          <w:p w14:paraId="5DE003BA" w14:textId="54FF7953" w:rsidR="00A170EC" w:rsidRDefault="001863E5" w:rsidP="00A170EC">
            <w:pPr>
              <w:rPr>
                <w:b/>
                <w:bCs/>
                <w:sz w:val="24"/>
                <w:szCs w:val="24"/>
              </w:rPr>
            </w:pPr>
            <w:r w:rsidRPr="00A24BE4">
              <w:t>16,907.94</w:t>
            </w:r>
          </w:p>
        </w:tc>
        <w:tc>
          <w:tcPr>
            <w:tcW w:w="2338" w:type="dxa"/>
          </w:tcPr>
          <w:p w14:paraId="75FBDA5F" w14:textId="3E5BEB7E" w:rsidR="00A170EC" w:rsidRDefault="00D47ADA" w:rsidP="00A170EC">
            <w:pPr>
              <w:rPr>
                <w:b/>
                <w:bCs/>
                <w:sz w:val="24"/>
                <w:szCs w:val="24"/>
              </w:rPr>
            </w:pPr>
            <w:r w:rsidRPr="00A24BE4">
              <w:t xml:space="preserve">4,303,039.00   </w:t>
            </w:r>
          </w:p>
        </w:tc>
      </w:tr>
      <w:tr w:rsidR="00A170EC" w14:paraId="35B55E6A" w14:textId="77777777" w:rsidTr="00A170EC">
        <w:tc>
          <w:tcPr>
            <w:tcW w:w="2337" w:type="dxa"/>
          </w:tcPr>
          <w:p w14:paraId="3754B7D9" w14:textId="59294093" w:rsidR="00A170EC" w:rsidRDefault="00A170EC" w:rsidP="00A170EC">
            <w:pPr>
              <w:rPr>
                <w:b/>
                <w:bCs/>
                <w:sz w:val="24"/>
                <w:szCs w:val="24"/>
              </w:rPr>
            </w:pPr>
            <w:r w:rsidRPr="00A24BE4">
              <w:t>max</w:t>
            </w:r>
          </w:p>
        </w:tc>
        <w:tc>
          <w:tcPr>
            <w:tcW w:w="2337" w:type="dxa"/>
          </w:tcPr>
          <w:p w14:paraId="481DE07D" w14:textId="5CD0ACA5" w:rsidR="00A170EC" w:rsidRDefault="001863E5" w:rsidP="00A170EC">
            <w:pPr>
              <w:rPr>
                <w:b/>
                <w:bCs/>
                <w:sz w:val="24"/>
                <w:szCs w:val="24"/>
              </w:rPr>
            </w:pPr>
            <w:r w:rsidRPr="00A24BE4">
              <w:t>26,330,139.00</w:t>
            </w:r>
          </w:p>
        </w:tc>
        <w:tc>
          <w:tcPr>
            <w:tcW w:w="2338" w:type="dxa"/>
          </w:tcPr>
          <w:p w14:paraId="3D3A0163" w14:textId="27504648" w:rsidR="00A170EC" w:rsidRDefault="001863E5" w:rsidP="00A170EC">
            <w:pPr>
              <w:rPr>
                <w:b/>
                <w:bCs/>
                <w:sz w:val="24"/>
                <w:szCs w:val="24"/>
              </w:rPr>
            </w:pPr>
            <w:r w:rsidRPr="00A24BE4">
              <w:t>6,902,095.87</w:t>
            </w:r>
          </w:p>
        </w:tc>
        <w:tc>
          <w:tcPr>
            <w:tcW w:w="2338" w:type="dxa"/>
          </w:tcPr>
          <w:p w14:paraId="755414F8" w14:textId="3BA7F50F" w:rsidR="00A170EC" w:rsidRDefault="00D47ADA" w:rsidP="00A170EC">
            <w:pPr>
              <w:rPr>
                <w:b/>
                <w:bCs/>
                <w:sz w:val="24"/>
                <w:szCs w:val="24"/>
              </w:rPr>
            </w:pPr>
            <w:r w:rsidRPr="00A24BE4">
              <w:t xml:space="preserve">33,167,326.61   </w:t>
            </w:r>
          </w:p>
        </w:tc>
      </w:tr>
    </w:tbl>
    <w:p w14:paraId="0B71B4CC" w14:textId="77777777" w:rsidR="002566A0" w:rsidRDefault="002566A0" w:rsidP="0072430A">
      <w:pPr>
        <w:rPr>
          <w:b/>
          <w:bCs/>
          <w:sz w:val="24"/>
          <w:szCs w:val="24"/>
        </w:rPr>
      </w:pPr>
    </w:p>
    <w:p w14:paraId="79ECC5A4" w14:textId="7AA12A33" w:rsidR="005569CD" w:rsidRDefault="00B46AAC" w:rsidP="002D15E3">
      <w:r w:rsidRPr="00B46AAC">
        <w:rPr>
          <w:noProof/>
        </w:rPr>
        <w:drawing>
          <wp:inline distT="0" distB="0" distL="0" distR="0" wp14:anchorId="461A906C" wp14:editId="71343DEF">
            <wp:extent cx="5485765" cy="4181853"/>
            <wp:effectExtent l="0" t="0" r="635" b="9525"/>
            <wp:docPr id="86012164" name="Picture 1" descr="A graph with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2164" name="Picture 1" descr="A graph with blue lines&#10;&#10;Description automatically generated with medium confidence"/>
                    <pic:cNvPicPr/>
                  </pic:nvPicPr>
                  <pic:blipFill>
                    <a:blip r:embed="rId9"/>
                    <a:stretch>
                      <a:fillRect/>
                    </a:stretch>
                  </pic:blipFill>
                  <pic:spPr>
                    <a:xfrm>
                      <a:off x="0" y="0"/>
                      <a:ext cx="5500190" cy="4192849"/>
                    </a:xfrm>
                    <a:prstGeom prst="rect">
                      <a:avLst/>
                    </a:prstGeom>
                  </pic:spPr>
                </pic:pic>
              </a:graphicData>
            </a:graphic>
          </wp:inline>
        </w:drawing>
      </w:r>
    </w:p>
    <w:p w14:paraId="5203C069" w14:textId="77777777" w:rsidR="00424B41" w:rsidRDefault="00424B41" w:rsidP="002D15E3"/>
    <w:p w14:paraId="7476E284" w14:textId="37665D3F" w:rsidR="00DD5802" w:rsidRDefault="00E10DB3" w:rsidP="002D15E3">
      <w:r w:rsidRPr="00E10DB3">
        <w:rPr>
          <w:noProof/>
        </w:rPr>
        <w:lastRenderedPageBreak/>
        <w:drawing>
          <wp:inline distT="0" distB="0" distL="0" distR="0" wp14:anchorId="6D14069C" wp14:editId="77AB12D6">
            <wp:extent cx="5943600" cy="3467100"/>
            <wp:effectExtent l="0" t="0" r="0" b="0"/>
            <wp:docPr id="36041031" name="Picture 1" descr="A graph of a graph of debt held by publ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1031" name="Picture 1" descr="A graph of a graph of debt held by public&#10;&#10;Description automatically generated"/>
                    <pic:cNvPicPr/>
                  </pic:nvPicPr>
                  <pic:blipFill>
                    <a:blip r:embed="rId10"/>
                    <a:stretch>
                      <a:fillRect/>
                    </a:stretch>
                  </pic:blipFill>
                  <pic:spPr>
                    <a:xfrm>
                      <a:off x="0" y="0"/>
                      <a:ext cx="5943600" cy="3467100"/>
                    </a:xfrm>
                    <a:prstGeom prst="rect">
                      <a:avLst/>
                    </a:prstGeom>
                  </pic:spPr>
                </pic:pic>
              </a:graphicData>
            </a:graphic>
          </wp:inline>
        </w:drawing>
      </w:r>
    </w:p>
    <w:p w14:paraId="58B1BBAE" w14:textId="5CCFD9B3" w:rsidR="006065DD" w:rsidRDefault="006065DD" w:rsidP="002D15E3">
      <w:r w:rsidRPr="006065DD">
        <w:rPr>
          <w:noProof/>
        </w:rPr>
        <w:drawing>
          <wp:inline distT="0" distB="0" distL="0" distR="0" wp14:anchorId="2CDF805F" wp14:editId="5A29CA25">
            <wp:extent cx="5943600" cy="3111500"/>
            <wp:effectExtent l="0" t="0" r="0" b="0"/>
            <wp:docPr id="861157672" name="Picture 1" descr="A graph of debt and bankrupt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57672" name="Picture 1" descr="A graph of debt and bankruptcy&#10;&#10;Description automatically generated with medium confidence"/>
                    <pic:cNvPicPr/>
                  </pic:nvPicPr>
                  <pic:blipFill>
                    <a:blip r:embed="rId11"/>
                    <a:stretch>
                      <a:fillRect/>
                    </a:stretch>
                  </pic:blipFill>
                  <pic:spPr>
                    <a:xfrm>
                      <a:off x="0" y="0"/>
                      <a:ext cx="5943600" cy="3111500"/>
                    </a:xfrm>
                    <a:prstGeom prst="rect">
                      <a:avLst/>
                    </a:prstGeom>
                  </pic:spPr>
                </pic:pic>
              </a:graphicData>
            </a:graphic>
          </wp:inline>
        </w:drawing>
      </w:r>
    </w:p>
    <w:p w14:paraId="42AF7D2F" w14:textId="19A4F2F7" w:rsidR="006065DD" w:rsidRDefault="00A42511" w:rsidP="002D15E3">
      <w:r w:rsidRPr="00A42511">
        <w:rPr>
          <w:noProof/>
        </w:rPr>
        <w:lastRenderedPageBreak/>
        <w:drawing>
          <wp:inline distT="0" distB="0" distL="0" distR="0" wp14:anchorId="6809A2ED" wp14:editId="41A09774">
            <wp:extent cx="5943600" cy="3566160"/>
            <wp:effectExtent l="0" t="0" r="0" b="0"/>
            <wp:docPr id="294188476" name="Picture 1" descr="A graph of a security clas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88476" name="Picture 1" descr="A graph of a security class distribution&#10;&#10;Description automatically generated"/>
                    <pic:cNvPicPr/>
                  </pic:nvPicPr>
                  <pic:blipFill>
                    <a:blip r:embed="rId12"/>
                    <a:stretch>
                      <a:fillRect/>
                    </a:stretch>
                  </pic:blipFill>
                  <pic:spPr>
                    <a:xfrm>
                      <a:off x="0" y="0"/>
                      <a:ext cx="5943600" cy="3566160"/>
                    </a:xfrm>
                    <a:prstGeom prst="rect">
                      <a:avLst/>
                    </a:prstGeom>
                  </pic:spPr>
                </pic:pic>
              </a:graphicData>
            </a:graphic>
          </wp:inline>
        </w:drawing>
      </w:r>
    </w:p>
    <w:p w14:paraId="332519FA" w14:textId="77777777" w:rsidR="00A42511" w:rsidRDefault="00A42511" w:rsidP="002D15E3"/>
    <w:p w14:paraId="22E3841C" w14:textId="77777777" w:rsidR="00A42511" w:rsidRDefault="00A42511" w:rsidP="002D15E3"/>
    <w:p w14:paraId="53836AF4" w14:textId="388DA937" w:rsidR="006065DD" w:rsidRPr="000822E6" w:rsidRDefault="00A42511" w:rsidP="002D15E3">
      <w:pPr>
        <w:rPr>
          <w:b/>
          <w:bCs/>
        </w:rPr>
      </w:pPr>
      <w:r>
        <w:t xml:space="preserve">The </w:t>
      </w:r>
      <w:r w:rsidR="00E521A4">
        <w:t xml:space="preserve">statistical diagrams represent the data </w:t>
      </w:r>
      <w:r w:rsidR="00B77898">
        <w:t xml:space="preserve">in different </w:t>
      </w:r>
      <w:r w:rsidR="00396B58">
        <w:t>formats</w:t>
      </w:r>
      <w:r w:rsidR="00B77898">
        <w:t xml:space="preserve"> by specific area covered</w:t>
      </w:r>
      <w:r w:rsidR="00FF506C">
        <w:t xml:space="preserve"> by each. The Security Class </w:t>
      </w:r>
      <w:r w:rsidR="006648A3">
        <w:t>description</w:t>
      </w:r>
      <w:r w:rsidR="00FF506C">
        <w:t xml:space="preserve"> has a type “_”</w:t>
      </w:r>
      <w:r w:rsidR="00B14762">
        <w:t xml:space="preserve"> for the </w:t>
      </w:r>
      <w:r w:rsidR="000822E6" w:rsidRPr="000822E6">
        <w:rPr>
          <w:b/>
          <w:bCs/>
        </w:rPr>
        <w:t>Total Public Debt Outstanding</w:t>
      </w:r>
      <w:r w:rsidR="000822E6">
        <w:rPr>
          <w:b/>
          <w:bCs/>
        </w:rPr>
        <w:t xml:space="preserve">, </w:t>
      </w:r>
      <w:r w:rsidR="000822E6" w:rsidRPr="000822E6">
        <w:rPr>
          <w:b/>
          <w:bCs/>
        </w:rPr>
        <w:t>Total Marketable</w:t>
      </w:r>
      <w:r w:rsidR="000822E6">
        <w:rPr>
          <w:b/>
          <w:bCs/>
        </w:rPr>
        <w:t xml:space="preserve">, </w:t>
      </w:r>
      <w:r w:rsidR="000822E6" w:rsidRPr="000822E6">
        <w:rPr>
          <w:b/>
          <w:bCs/>
        </w:rPr>
        <w:t xml:space="preserve">Total </w:t>
      </w:r>
      <w:r w:rsidR="006648A3">
        <w:rPr>
          <w:b/>
          <w:bCs/>
        </w:rPr>
        <w:t>N</w:t>
      </w:r>
      <w:r w:rsidR="000822E6">
        <w:rPr>
          <w:b/>
          <w:bCs/>
        </w:rPr>
        <w:t>on</w:t>
      </w:r>
      <w:r w:rsidR="006648A3">
        <w:rPr>
          <w:b/>
          <w:bCs/>
        </w:rPr>
        <w:t>m</w:t>
      </w:r>
      <w:r w:rsidR="000822E6" w:rsidRPr="000822E6">
        <w:rPr>
          <w:b/>
          <w:bCs/>
        </w:rPr>
        <w:t>arketable</w:t>
      </w:r>
      <w:r w:rsidR="00F618E3">
        <w:rPr>
          <w:b/>
          <w:bCs/>
        </w:rPr>
        <w:t xml:space="preserve"> </w:t>
      </w:r>
      <w:r w:rsidR="00F618E3" w:rsidRPr="00F618E3">
        <w:t>which would mostly not be used for analysis purpose</w:t>
      </w:r>
      <w:r w:rsidR="001E6F89">
        <w:t xml:space="preserve"> and it can be removed while </w:t>
      </w:r>
      <w:r w:rsidR="00396B58">
        <w:t>cleaning, the</w:t>
      </w:r>
      <w:r w:rsidR="001E6F89">
        <w:t xml:space="preserve"> security type and </w:t>
      </w:r>
      <w:r w:rsidR="0020285E">
        <w:t>specific security will be used</w:t>
      </w:r>
      <w:r w:rsidR="00B16ECF">
        <w:t xml:space="preserve"> for relating the data from both the datasets.</w:t>
      </w:r>
    </w:p>
    <w:sectPr w:rsidR="006065DD" w:rsidRPr="00082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6A3C"/>
    <w:multiLevelType w:val="multilevel"/>
    <w:tmpl w:val="A972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1E6C7B"/>
    <w:multiLevelType w:val="multilevel"/>
    <w:tmpl w:val="EA0A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A212CD"/>
    <w:multiLevelType w:val="multilevel"/>
    <w:tmpl w:val="CF54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1C67E9"/>
    <w:multiLevelType w:val="multilevel"/>
    <w:tmpl w:val="65C6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B263FC"/>
    <w:multiLevelType w:val="hybridMultilevel"/>
    <w:tmpl w:val="2C52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85799"/>
    <w:multiLevelType w:val="multilevel"/>
    <w:tmpl w:val="A858D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C46E08"/>
    <w:multiLevelType w:val="hybridMultilevel"/>
    <w:tmpl w:val="D13C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D41071"/>
    <w:multiLevelType w:val="hybridMultilevel"/>
    <w:tmpl w:val="32F8CE5C"/>
    <w:lvl w:ilvl="0" w:tplc="7E1C5776">
      <w:start w:val="10"/>
      <w:numFmt w:val="bullet"/>
      <w:lvlText w:val="•"/>
      <w:lvlJc w:val="left"/>
      <w:pPr>
        <w:ind w:left="1080" w:hanging="72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0D4525"/>
    <w:multiLevelType w:val="multilevel"/>
    <w:tmpl w:val="CBA8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551440">
    <w:abstractNumId w:val="2"/>
  </w:num>
  <w:num w:numId="2" w16cid:durableId="1242325938">
    <w:abstractNumId w:val="3"/>
  </w:num>
  <w:num w:numId="3" w16cid:durableId="279990839">
    <w:abstractNumId w:val="8"/>
  </w:num>
  <w:num w:numId="4" w16cid:durableId="1293172546">
    <w:abstractNumId w:val="5"/>
  </w:num>
  <w:num w:numId="5" w16cid:durableId="163253702">
    <w:abstractNumId w:val="0"/>
  </w:num>
  <w:num w:numId="6" w16cid:durableId="1010638189">
    <w:abstractNumId w:val="1"/>
  </w:num>
  <w:num w:numId="7" w16cid:durableId="1916283341">
    <w:abstractNumId w:val="6"/>
  </w:num>
  <w:num w:numId="8" w16cid:durableId="61486612">
    <w:abstractNumId w:val="4"/>
  </w:num>
  <w:num w:numId="9" w16cid:durableId="3829518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E3"/>
    <w:rsid w:val="000324A9"/>
    <w:rsid w:val="00074AE3"/>
    <w:rsid w:val="000822E6"/>
    <w:rsid w:val="000B6365"/>
    <w:rsid w:val="000C039A"/>
    <w:rsid w:val="000E2315"/>
    <w:rsid w:val="000F30D9"/>
    <w:rsid w:val="001863E5"/>
    <w:rsid w:val="001C0985"/>
    <w:rsid w:val="001E6F89"/>
    <w:rsid w:val="0020285E"/>
    <w:rsid w:val="002566A0"/>
    <w:rsid w:val="002D15E3"/>
    <w:rsid w:val="00396B58"/>
    <w:rsid w:val="00397F73"/>
    <w:rsid w:val="00424B41"/>
    <w:rsid w:val="004278BD"/>
    <w:rsid w:val="00435B3F"/>
    <w:rsid w:val="00444E6C"/>
    <w:rsid w:val="00447C45"/>
    <w:rsid w:val="004866DB"/>
    <w:rsid w:val="004A3456"/>
    <w:rsid w:val="005569CD"/>
    <w:rsid w:val="005678A5"/>
    <w:rsid w:val="006065DD"/>
    <w:rsid w:val="006648A3"/>
    <w:rsid w:val="0072430A"/>
    <w:rsid w:val="0076735D"/>
    <w:rsid w:val="007C67B8"/>
    <w:rsid w:val="008104BF"/>
    <w:rsid w:val="00860FB9"/>
    <w:rsid w:val="008658BE"/>
    <w:rsid w:val="008C4076"/>
    <w:rsid w:val="008F4018"/>
    <w:rsid w:val="00A07C54"/>
    <w:rsid w:val="00A170EC"/>
    <w:rsid w:val="00A24BE4"/>
    <w:rsid w:val="00A42511"/>
    <w:rsid w:val="00A73240"/>
    <w:rsid w:val="00AF3372"/>
    <w:rsid w:val="00B0212A"/>
    <w:rsid w:val="00B14762"/>
    <w:rsid w:val="00B16ECF"/>
    <w:rsid w:val="00B467FE"/>
    <w:rsid w:val="00B46AAC"/>
    <w:rsid w:val="00B558CF"/>
    <w:rsid w:val="00B77898"/>
    <w:rsid w:val="00BD1A91"/>
    <w:rsid w:val="00C13F58"/>
    <w:rsid w:val="00CC3B24"/>
    <w:rsid w:val="00D26ACF"/>
    <w:rsid w:val="00D47ADA"/>
    <w:rsid w:val="00DD5802"/>
    <w:rsid w:val="00DF4B8C"/>
    <w:rsid w:val="00E10DB3"/>
    <w:rsid w:val="00E14063"/>
    <w:rsid w:val="00E521A4"/>
    <w:rsid w:val="00E635EF"/>
    <w:rsid w:val="00F618E3"/>
    <w:rsid w:val="00F773A6"/>
    <w:rsid w:val="00FF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1727"/>
  <w15:chartTrackingRefBased/>
  <w15:docId w15:val="{767CB1F6-69AA-4FE7-824B-BA210941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A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74AE3"/>
    <w:rPr>
      <w:b/>
      <w:bCs/>
    </w:rPr>
  </w:style>
  <w:style w:type="paragraph" w:styleId="ListParagraph">
    <w:name w:val="List Paragraph"/>
    <w:basedOn w:val="Normal"/>
    <w:uiPriority w:val="34"/>
    <w:qFormat/>
    <w:rsid w:val="000324A9"/>
    <w:pPr>
      <w:ind w:left="720"/>
      <w:contextualSpacing/>
    </w:pPr>
  </w:style>
  <w:style w:type="character" w:styleId="Hyperlink">
    <w:name w:val="Hyperlink"/>
    <w:basedOn w:val="DefaultParagraphFont"/>
    <w:uiPriority w:val="99"/>
    <w:unhideWhenUsed/>
    <w:rsid w:val="000F30D9"/>
    <w:rPr>
      <w:color w:val="0563C1" w:themeColor="hyperlink"/>
      <w:u w:val="single"/>
    </w:rPr>
  </w:style>
  <w:style w:type="table" w:styleId="TableGrid">
    <w:name w:val="Table Grid"/>
    <w:basedOn w:val="TableNormal"/>
    <w:uiPriority w:val="39"/>
    <w:rsid w:val="00B467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12212">
      <w:bodyDiv w:val="1"/>
      <w:marLeft w:val="0"/>
      <w:marRight w:val="0"/>
      <w:marTop w:val="0"/>
      <w:marBottom w:val="0"/>
      <w:divBdr>
        <w:top w:val="none" w:sz="0" w:space="0" w:color="auto"/>
        <w:left w:val="none" w:sz="0" w:space="0" w:color="auto"/>
        <w:bottom w:val="none" w:sz="0" w:space="0" w:color="auto"/>
        <w:right w:val="none" w:sz="0" w:space="0" w:color="auto"/>
      </w:divBdr>
    </w:div>
    <w:div w:id="6465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iscaldata.treasury.gov/datasets/monthly-statement-public-debt/summary-of-treasury-securities-outstand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chakri chithimalli</dc:creator>
  <cp:keywords/>
  <dc:description/>
  <cp:lastModifiedBy>chakri chithimalli</cp:lastModifiedBy>
  <cp:revision>59</cp:revision>
  <dcterms:created xsi:type="dcterms:W3CDTF">2023-10-21T06:15:00Z</dcterms:created>
  <dcterms:modified xsi:type="dcterms:W3CDTF">2023-10-22T19:34:00Z</dcterms:modified>
</cp:coreProperties>
</file>