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102B" w14:textId="0EA22A27" w:rsidR="00765CFD" w:rsidRPr="00765CFD" w:rsidRDefault="00A8736D" w:rsidP="00EC6762">
      <w:pPr>
        <w:ind w:left="720" w:firstLine="720"/>
        <w:rPr>
          <w:b/>
          <w:bCs/>
          <w:sz w:val="40"/>
          <w:szCs w:val="40"/>
        </w:rPr>
      </w:pPr>
      <w:r w:rsidRPr="00765CFD">
        <w:rPr>
          <w:b/>
          <w:bCs/>
          <w:sz w:val="40"/>
          <w:szCs w:val="40"/>
        </w:rPr>
        <w:t>Exploratory Data Analysis (EDA) Report</w:t>
      </w:r>
    </w:p>
    <w:p w14:paraId="14512A65" w14:textId="1F89DE5F" w:rsidR="00A8736D" w:rsidRPr="00765CFD" w:rsidRDefault="00A8736D" w:rsidP="00A8736D">
      <w:pPr>
        <w:rPr>
          <w:b/>
          <w:bCs/>
          <w:sz w:val="28"/>
          <w:szCs w:val="28"/>
        </w:rPr>
      </w:pPr>
      <w:r w:rsidRPr="00765CFD">
        <w:rPr>
          <w:b/>
          <w:bCs/>
          <w:sz w:val="28"/>
          <w:szCs w:val="28"/>
        </w:rPr>
        <w:t>Dataset Overview</w:t>
      </w:r>
    </w:p>
    <w:p w14:paraId="08D41FF7" w14:textId="77777777" w:rsidR="00A8736D" w:rsidRPr="00765CFD" w:rsidRDefault="00A8736D" w:rsidP="00A8736D">
      <w:pPr>
        <w:ind w:firstLine="720"/>
      </w:pPr>
      <w:r w:rsidRPr="00A8736D">
        <w:rPr>
          <w:b/>
          <w:bCs/>
        </w:rPr>
        <w:t>•</w:t>
      </w:r>
      <w:r w:rsidRPr="00A8736D">
        <w:rPr>
          <w:b/>
          <w:bCs/>
        </w:rPr>
        <w:tab/>
      </w:r>
      <w:r w:rsidRPr="00765CFD">
        <w:t>Dataset Name: U.S. Treasury Securities Interest Rates</w:t>
      </w:r>
    </w:p>
    <w:p w14:paraId="1715FCC7" w14:textId="3547FE46" w:rsidR="00A8736D" w:rsidRDefault="00A8736D" w:rsidP="00A8736D">
      <w:pPr>
        <w:ind w:firstLine="720"/>
        <w:rPr>
          <w:b/>
          <w:bCs/>
        </w:rPr>
      </w:pPr>
      <w:r w:rsidRPr="00A8736D">
        <w:rPr>
          <w:b/>
          <w:bCs/>
        </w:rPr>
        <w:t>•</w:t>
      </w:r>
      <w:r w:rsidRPr="00A8736D">
        <w:rPr>
          <w:b/>
          <w:bCs/>
        </w:rPr>
        <w:tab/>
      </w:r>
      <w:r w:rsidRPr="00765CFD">
        <w:t>Source:</w:t>
      </w:r>
      <w:r w:rsidR="00765CFD">
        <w:rPr>
          <w:b/>
          <w:bCs/>
        </w:rPr>
        <w:t xml:space="preserve"> </w:t>
      </w:r>
      <w:hyperlink r:id="rId5" w:history="1">
        <w:r w:rsidR="002D20F6">
          <w:rPr>
            <w:rStyle w:val="Hyperlink"/>
          </w:rPr>
          <w:t>Average Interest Rates on U.S. Treasury Securities | U.S. Treasury Fiscal Data</w:t>
        </w:r>
      </w:hyperlink>
    </w:p>
    <w:p w14:paraId="1EAE102D" w14:textId="6153DAC3" w:rsidR="00A8736D" w:rsidRPr="00765CFD" w:rsidRDefault="00A8736D" w:rsidP="00A8736D">
      <w:pPr>
        <w:ind w:firstLine="720"/>
      </w:pPr>
      <w:r w:rsidRPr="00A8736D">
        <w:rPr>
          <w:b/>
          <w:bCs/>
        </w:rPr>
        <w:t>•</w:t>
      </w:r>
      <w:r w:rsidRPr="00A8736D">
        <w:rPr>
          <w:b/>
          <w:bCs/>
        </w:rPr>
        <w:tab/>
      </w:r>
      <w:r w:rsidRPr="00765CFD">
        <w:t>Date of Data: 01/31/20</w:t>
      </w:r>
      <w:r w:rsidR="00765CFD" w:rsidRPr="00765CFD">
        <w:t>01</w:t>
      </w:r>
      <w:r w:rsidRPr="00765CFD">
        <w:t xml:space="preserve"> to 0</w:t>
      </w:r>
      <w:r w:rsidR="00765CFD" w:rsidRPr="00765CFD">
        <w:t>9</w:t>
      </w:r>
      <w:r w:rsidRPr="00765CFD">
        <w:t>/3</w:t>
      </w:r>
      <w:r w:rsidR="00765CFD" w:rsidRPr="00765CFD">
        <w:t>0</w:t>
      </w:r>
      <w:r w:rsidRPr="00765CFD">
        <w:t>/2023</w:t>
      </w:r>
    </w:p>
    <w:p w14:paraId="08517E3F" w14:textId="1BF2D677" w:rsidR="00765CFD" w:rsidRPr="00765CFD" w:rsidRDefault="00765CFD" w:rsidP="00765CFD">
      <w:pPr>
        <w:rPr>
          <w:b/>
          <w:bCs/>
          <w:sz w:val="28"/>
          <w:szCs w:val="28"/>
        </w:rPr>
      </w:pPr>
      <w:r w:rsidRPr="00765CFD">
        <w:rPr>
          <w:b/>
          <w:bCs/>
          <w:sz w:val="28"/>
          <w:szCs w:val="28"/>
        </w:rPr>
        <w:t>Introduction</w:t>
      </w:r>
    </w:p>
    <w:p w14:paraId="35F11EB0" w14:textId="5676F164" w:rsidR="00765CFD" w:rsidRPr="00765CFD" w:rsidRDefault="00765CFD" w:rsidP="00765CFD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765CFD">
        <w:rPr>
          <w:rFonts w:cstheme="minorHAnsi"/>
        </w:rPr>
        <w:t>This report presents the results of an exploratory data analysis (EDA) on the U.S.</w:t>
      </w:r>
      <w:r w:rsidRPr="00765CFD">
        <w:rPr>
          <w:rFonts w:cstheme="minorHAnsi"/>
          <w:b/>
          <w:bCs/>
        </w:rPr>
        <w:t xml:space="preserve"> </w:t>
      </w:r>
      <w:r w:rsidRPr="00765CFD">
        <w:rPr>
          <w:rFonts w:cstheme="minorHAnsi"/>
          <w:color w:val="374151"/>
        </w:rPr>
        <w:t>Treasury Securities Interest Rates dataset.</w:t>
      </w:r>
      <w:r>
        <w:rPr>
          <w:rFonts w:cstheme="minorHAnsi"/>
          <w:color w:val="374151"/>
        </w:rPr>
        <w:t xml:space="preserve"> </w:t>
      </w:r>
      <w:r w:rsidRPr="00765CFD">
        <w:rPr>
          <w:rFonts w:cstheme="minorHAnsi"/>
          <w:color w:val="374151"/>
        </w:rPr>
        <w:t>The dataset provides information on interest rates for various types of U.S. Treasury securities. This EDA aims to understand the characteristics, distributions, and relationships within the data.</w:t>
      </w:r>
    </w:p>
    <w:p w14:paraId="6C512A4A" w14:textId="63C35E2D" w:rsidR="00765CFD" w:rsidRDefault="00765CFD" w:rsidP="00765CFD">
      <w:pPr>
        <w:rPr>
          <w:rFonts w:cstheme="minorHAnsi"/>
          <w:b/>
          <w:bCs/>
          <w:sz w:val="28"/>
          <w:szCs w:val="28"/>
        </w:rPr>
      </w:pPr>
      <w:r w:rsidRPr="00765CFD">
        <w:rPr>
          <w:rFonts w:cstheme="minorHAnsi"/>
          <w:b/>
          <w:bCs/>
          <w:sz w:val="28"/>
          <w:szCs w:val="28"/>
        </w:rPr>
        <w:t>Data Summary</w:t>
      </w:r>
    </w:p>
    <w:p w14:paraId="603C3634" w14:textId="77777777" w:rsidR="00E74896" w:rsidRPr="00E70D6F" w:rsidRDefault="00E74896" w:rsidP="00E74896">
      <w:pPr>
        <w:rPr>
          <w:b/>
          <w:bCs/>
          <w:sz w:val="24"/>
          <w:szCs w:val="24"/>
        </w:rPr>
      </w:pPr>
      <w:r w:rsidRPr="00E70D6F">
        <w:rPr>
          <w:b/>
          <w:bCs/>
          <w:sz w:val="24"/>
          <w:szCs w:val="24"/>
        </w:rPr>
        <w:t>Let's begin by summarizing the key statistics of the dataset:</w:t>
      </w:r>
    </w:p>
    <w:p w14:paraId="00F85DDC" w14:textId="77777777" w:rsidR="00E74896" w:rsidRDefault="00E74896" w:rsidP="00E7489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</w:t>
      </w:r>
      <w:r w:rsidRPr="00350389">
        <w:rPr>
          <w:rFonts w:cstheme="minorHAnsi"/>
        </w:rPr>
        <w:t xml:space="preserve">umber of </w:t>
      </w:r>
      <w:r>
        <w:rPr>
          <w:rFonts w:cstheme="minorHAnsi"/>
        </w:rPr>
        <w:t>column</w:t>
      </w:r>
      <w:r w:rsidRPr="00350389">
        <w:rPr>
          <w:rFonts w:cstheme="minorHAnsi"/>
        </w:rPr>
        <w:t>s</w:t>
      </w:r>
      <w:r>
        <w:rPr>
          <w:rFonts w:cstheme="minorHAnsi"/>
        </w:rPr>
        <w:t>: 11</w:t>
      </w:r>
    </w:p>
    <w:p w14:paraId="533562CA" w14:textId="77777777" w:rsidR="00E74896" w:rsidRDefault="00E74896" w:rsidP="00E7489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Number of rows: 4419</w:t>
      </w:r>
    </w:p>
    <w:p w14:paraId="421BBD1F" w14:textId="77777777" w:rsidR="00E74896" w:rsidRPr="00350389" w:rsidRDefault="00E74896" w:rsidP="00E74896">
      <w:pPr>
        <w:pStyle w:val="ListParagraph"/>
        <w:numPr>
          <w:ilvl w:val="0"/>
          <w:numId w:val="4"/>
        </w:numPr>
        <w:rPr>
          <w:rFonts w:cstheme="minorHAnsi"/>
        </w:rPr>
      </w:pPr>
      <w:r>
        <w:t>M</w:t>
      </w:r>
      <w:r w:rsidRPr="00A8736D">
        <w:t>emory usage: 379.9 KB</w:t>
      </w:r>
    </w:p>
    <w:p w14:paraId="3D33161E" w14:textId="77777777" w:rsidR="00E74896" w:rsidRDefault="00E74896" w:rsidP="00E74896">
      <w:r w:rsidRPr="00EF5C28">
        <w:rPr>
          <w:b/>
          <w:bCs/>
          <w:sz w:val="24"/>
          <w:szCs w:val="24"/>
        </w:rPr>
        <w:t>Data Types</w:t>
      </w:r>
      <w:r>
        <w:t xml:space="preserve"> </w:t>
      </w:r>
      <w:r w:rsidRPr="0027622A">
        <w:rPr>
          <w:b/>
          <w:bCs/>
          <w:sz w:val="24"/>
          <w:szCs w:val="24"/>
        </w:rPr>
        <w:t>and Description</w:t>
      </w:r>
      <w:r w:rsidRPr="0027622A">
        <w:rPr>
          <w:b/>
          <w:bCs/>
        </w:rPr>
        <w:t>:</w:t>
      </w:r>
    </w:p>
    <w:p w14:paraId="6BE45E27" w14:textId="77777777" w:rsidR="00E74896" w:rsidRDefault="00E74896" w:rsidP="00E74896">
      <w:pPr>
        <w:pStyle w:val="ListParagraph"/>
        <w:numPr>
          <w:ilvl w:val="0"/>
          <w:numId w:val="6"/>
        </w:numPr>
      </w:pPr>
      <w:proofErr w:type="spellStart"/>
      <w:r w:rsidRPr="003E703B">
        <w:rPr>
          <w:b/>
          <w:bCs/>
        </w:rPr>
        <w:t>record_date</w:t>
      </w:r>
      <w:proofErr w:type="spellEnd"/>
      <w:r>
        <w:t xml:space="preserve">(Date) : The date when the record was made.             </w:t>
      </w:r>
      <w:r>
        <w:tab/>
      </w:r>
      <w:r>
        <w:tab/>
      </w:r>
      <w:r>
        <w:tab/>
      </w:r>
      <w:r>
        <w:tab/>
      </w:r>
    </w:p>
    <w:p w14:paraId="32FCF588" w14:textId="77777777" w:rsidR="00E74896" w:rsidRDefault="00E74896" w:rsidP="00E74896">
      <w:pPr>
        <w:pStyle w:val="ListParagraph"/>
        <w:numPr>
          <w:ilvl w:val="0"/>
          <w:numId w:val="6"/>
        </w:numPr>
      </w:pPr>
      <w:proofErr w:type="spellStart"/>
      <w:r w:rsidRPr="003E703B">
        <w:rPr>
          <w:b/>
          <w:bCs/>
        </w:rPr>
        <w:t>security_type_desc</w:t>
      </w:r>
      <w:proofErr w:type="spellEnd"/>
      <w:r>
        <w:t xml:space="preserve">(String) : The description of the security type.      </w:t>
      </w:r>
      <w:r>
        <w:tab/>
      </w:r>
      <w:r>
        <w:tab/>
      </w:r>
      <w:r>
        <w:tab/>
        <w:t xml:space="preserve"> </w:t>
      </w:r>
    </w:p>
    <w:p w14:paraId="2D642385" w14:textId="77777777" w:rsidR="00E74896" w:rsidRDefault="00E74896" w:rsidP="00E74896">
      <w:pPr>
        <w:pStyle w:val="ListParagraph"/>
        <w:numPr>
          <w:ilvl w:val="0"/>
          <w:numId w:val="6"/>
        </w:numPr>
      </w:pPr>
      <w:proofErr w:type="spellStart"/>
      <w:r w:rsidRPr="003E703B">
        <w:rPr>
          <w:b/>
          <w:bCs/>
        </w:rPr>
        <w:t>security_desc</w:t>
      </w:r>
      <w:proofErr w:type="spellEnd"/>
      <w:r>
        <w:t xml:space="preserve"> </w:t>
      </w:r>
      <w:bookmarkStart w:id="0" w:name="_Hlk148833942"/>
      <w:r>
        <w:t>(String)</w:t>
      </w:r>
      <w:bookmarkEnd w:id="0"/>
      <w:r>
        <w:t xml:space="preserve">: description of the security.          </w:t>
      </w:r>
      <w:r>
        <w:tab/>
      </w:r>
      <w:r>
        <w:tab/>
      </w:r>
      <w:r>
        <w:tab/>
        <w:t xml:space="preserve"> </w:t>
      </w:r>
    </w:p>
    <w:p w14:paraId="75B3793C" w14:textId="77777777" w:rsidR="00E74896" w:rsidRDefault="00E74896" w:rsidP="00E74896">
      <w:pPr>
        <w:pStyle w:val="ListParagraph"/>
        <w:numPr>
          <w:ilvl w:val="0"/>
          <w:numId w:val="6"/>
        </w:numPr>
      </w:pPr>
      <w:proofErr w:type="spellStart"/>
      <w:r w:rsidRPr="003E703B">
        <w:rPr>
          <w:b/>
          <w:bCs/>
        </w:rPr>
        <w:t>avg_interest_rate_amt</w:t>
      </w:r>
      <w:proofErr w:type="spellEnd"/>
      <w:r>
        <w:t xml:space="preserve"> (float)  :</w:t>
      </w:r>
      <w:r>
        <w:tab/>
        <w:t>The interest rate of the security for particular date</w:t>
      </w:r>
      <w:r>
        <w:tab/>
      </w:r>
    </w:p>
    <w:p w14:paraId="013EDD6D" w14:textId="77777777" w:rsidR="00E74896" w:rsidRDefault="00E74896" w:rsidP="00E74896">
      <w:pPr>
        <w:pStyle w:val="ListParagraph"/>
        <w:numPr>
          <w:ilvl w:val="0"/>
          <w:numId w:val="6"/>
        </w:numPr>
      </w:pPr>
      <w:proofErr w:type="spellStart"/>
      <w:r w:rsidRPr="003E703B">
        <w:rPr>
          <w:b/>
          <w:bCs/>
        </w:rPr>
        <w:t>src_line_nbr</w:t>
      </w:r>
      <w:proofErr w:type="spellEnd"/>
      <w:r>
        <w:t xml:space="preserve">(int): </w:t>
      </w:r>
      <w:r w:rsidRPr="002D15E3">
        <w:t>A numeric identifier for the data source.</w:t>
      </w:r>
      <w:r>
        <w:t xml:space="preserve">          </w:t>
      </w:r>
    </w:p>
    <w:p w14:paraId="63C13DFE" w14:textId="77777777" w:rsidR="00E74896" w:rsidRDefault="00E74896" w:rsidP="00E74896">
      <w:pPr>
        <w:pStyle w:val="ListParagraph"/>
        <w:numPr>
          <w:ilvl w:val="0"/>
          <w:numId w:val="6"/>
        </w:numPr>
      </w:pPr>
      <w:proofErr w:type="spellStart"/>
      <w:r w:rsidRPr="003E703B">
        <w:rPr>
          <w:b/>
          <w:bCs/>
        </w:rPr>
        <w:t>record_fiscal_year</w:t>
      </w:r>
      <w:proofErr w:type="spellEnd"/>
      <w:r>
        <w:t xml:space="preserve">(int): </w:t>
      </w:r>
      <w:r w:rsidRPr="002D15E3">
        <w:t>The fiscal year associated with the data.</w:t>
      </w:r>
      <w:r>
        <w:t xml:space="preserve">       </w:t>
      </w:r>
      <w:r>
        <w:tab/>
      </w:r>
      <w:r>
        <w:tab/>
      </w:r>
      <w:r>
        <w:tab/>
      </w:r>
    </w:p>
    <w:p w14:paraId="0774173D" w14:textId="77777777" w:rsidR="00E74896" w:rsidRDefault="00E74896" w:rsidP="00E74896">
      <w:pPr>
        <w:pStyle w:val="ListParagraph"/>
        <w:numPr>
          <w:ilvl w:val="0"/>
          <w:numId w:val="6"/>
        </w:numPr>
      </w:pPr>
      <w:proofErr w:type="spellStart"/>
      <w:r w:rsidRPr="003E703B">
        <w:rPr>
          <w:b/>
          <w:bCs/>
        </w:rPr>
        <w:t>record_fiscal_quarter</w:t>
      </w:r>
      <w:proofErr w:type="spellEnd"/>
      <w:r>
        <w:t>(int) :</w:t>
      </w:r>
      <w:r w:rsidRPr="00BC5C31">
        <w:t xml:space="preserve"> </w:t>
      </w:r>
      <w:r w:rsidRPr="002D15E3">
        <w:t>The fiscal quarter associated with the data.</w:t>
      </w:r>
      <w:r>
        <w:t xml:space="preserve">     </w:t>
      </w:r>
      <w:r>
        <w:tab/>
      </w:r>
      <w:r>
        <w:tab/>
        <w:t xml:space="preserve"> </w:t>
      </w:r>
    </w:p>
    <w:p w14:paraId="0BAC3590" w14:textId="77777777" w:rsidR="00E74896" w:rsidRDefault="00E74896" w:rsidP="00E74896">
      <w:pPr>
        <w:pStyle w:val="ListParagraph"/>
        <w:numPr>
          <w:ilvl w:val="0"/>
          <w:numId w:val="6"/>
        </w:numPr>
      </w:pPr>
      <w:proofErr w:type="spellStart"/>
      <w:r w:rsidRPr="003E703B">
        <w:rPr>
          <w:b/>
          <w:bCs/>
        </w:rPr>
        <w:t>record_calendar_year</w:t>
      </w:r>
      <w:proofErr w:type="spellEnd"/>
      <w:r>
        <w:t xml:space="preserve">(int): </w:t>
      </w:r>
      <w:r w:rsidRPr="002D15E3">
        <w:t>The calendar year associated with the data.</w:t>
      </w:r>
      <w:r>
        <w:tab/>
        <w:t xml:space="preserve"> </w:t>
      </w:r>
    </w:p>
    <w:p w14:paraId="688F83D7" w14:textId="77777777" w:rsidR="00E74896" w:rsidRDefault="00E74896" w:rsidP="00E74896">
      <w:pPr>
        <w:pStyle w:val="ListParagraph"/>
        <w:numPr>
          <w:ilvl w:val="0"/>
          <w:numId w:val="6"/>
        </w:numPr>
      </w:pPr>
      <w:proofErr w:type="spellStart"/>
      <w:r w:rsidRPr="003E703B">
        <w:rPr>
          <w:b/>
          <w:bCs/>
        </w:rPr>
        <w:t>record_calendar_quarter</w:t>
      </w:r>
      <w:proofErr w:type="spellEnd"/>
      <w:r>
        <w:t>(int) :</w:t>
      </w:r>
      <w:r w:rsidRPr="00A031C5">
        <w:t xml:space="preserve"> </w:t>
      </w:r>
      <w:r w:rsidRPr="002D15E3">
        <w:t>The calendar quarter associated with the data.</w:t>
      </w:r>
      <w:r>
        <w:tab/>
      </w:r>
      <w:r>
        <w:tab/>
      </w:r>
    </w:p>
    <w:p w14:paraId="64C1C797" w14:textId="77777777" w:rsidR="00E74896" w:rsidRDefault="00E74896" w:rsidP="00E74896">
      <w:pPr>
        <w:pStyle w:val="ListParagraph"/>
        <w:numPr>
          <w:ilvl w:val="0"/>
          <w:numId w:val="6"/>
        </w:numPr>
      </w:pPr>
      <w:proofErr w:type="spellStart"/>
      <w:r w:rsidRPr="003E703B">
        <w:rPr>
          <w:b/>
          <w:bCs/>
        </w:rPr>
        <w:t>record_calendar_month</w:t>
      </w:r>
      <w:proofErr w:type="spellEnd"/>
      <w:r>
        <w:t>(int) :</w:t>
      </w:r>
      <w:r w:rsidRPr="000B2031">
        <w:t xml:space="preserve"> </w:t>
      </w:r>
      <w:r w:rsidRPr="002D15E3">
        <w:t>The calendar month associated with the data.</w:t>
      </w:r>
      <w:r>
        <w:t xml:space="preserve">  </w:t>
      </w:r>
      <w:r>
        <w:tab/>
      </w:r>
      <w:r>
        <w:tab/>
      </w:r>
    </w:p>
    <w:p w14:paraId="7912C8B0" w14:textId="77777777" w:rsidR="00E74896" w:rsidRDefault="00E74896" w:rsidP="00E74896">
      <w:pPr>
        <w:pStyle w:val="ListParagraph"/>
        <w:numPr>
          <w:ilvl w:val="0"/>
          <w:numId w:val="6"/>
        </w:numPr>
      </w:pPr>
      <w:proofErr w:type="spellStart"/>
      <w:r w:rsidRPr="003E703B">
        <w:rPr>
          <w:b/>
          <w:bCs/>
        </w:rPr>
        <w:t>record_calendar_day</w:t>
      </w:r>
      <w:proofErr w:type="spellEnd"/>
      <w:r>
        <w:t>(int) :</w:t>
      </w:r>
      <w:r w:rsidRPr="007D6DFB">
        <w:t xml:space="preserve"> </w:t>
      </w:r>
      <w:r w:rsidRPr="002D15E3">
        <w:t>The calendar day associated with the data.</w:t>
      </w:r>
      <w:r>
        <w:t xml:space="preserve">    </w:t>
      </w:r>
    </w:p>
    <w:p w14:paraId="37147D07" w14:textId="25A8FED6" w:rsidR="006A0D9E" w:rsidRPr="00E372EF" w:rsidRDefault="006A0D9E" w:rsidP="00E372EF">
      <w:r w:rsidRPr="00E372EF">
        <w:rPr>
          <w:b/>
          <w:bCs/>
          <w:sz w:val="28"/>
          <w:szCs w:val="28"/>
        </w:rPr>
        <w:t>Univariate Analysis:</w:t>
      </w:r>
    </w:p>
    <w:p w14:paraId="0DDDB88A" w14:textId="36269473" w:rsidR="006A0D9E" w:rsidRPr="006A0D9E" w:rsidRDefault="006A0D9E" w:rsidP="006A0D9E">
      <w:pPr>
        <w:rPr>
          <w:b/>
          <w:bCs/>
          <w:sz w:val="24"/>
          <w:szCs w:val="24"/>
        </w:rPr>
      </w:pPr>
      <w:r w:rsidRPr="006A0D9E">
        <w:rPr>
          <w:b/>
          <w:bCs/>
          <w:sz w:val="24"/>
          <w:szCs w:val="24"/>
        </w:rPr>
        <w:t>Numeric Variable</w:t>
      </w:r>
    </w:p>
    <w:p w14:paraId="436ADD3B" w14:textId="333831DD" w:rsidR="006A0D9E" w:rsidRPr="006A0D9E" w:rsidRDefault="006A0D9E" w:rsidP="006A0D9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6A0D9E">
        <w:rPr>
          <w:b/>
          <w:bCs/>
        </w:rPr>
        <w:t>avg_interest_rate_amt</w:t>
      </w:r>
      <w:proofErr w:type="spellEnd"/>
      <w:r w:rsidRPr="006A0D9E">
        <w:rPr>
          <w:b/>
          <w:bCs/>
        </w:rPr>
        <w:t xml:space="preserve"> </w:t>
      </w:r>
    </w:p>
    <w:p w14:paraId="75B60296" w14:textId="77777777" w:rsidR="006A0D9E" w:rsidRDefault="006A0D9E" w:rsidP="006A0D9E">
      <w:r>
        <w:t xml:space="preserve">count            4391.000000     </w:t>
      </w:r>
    </w:p>
    <w:p w14:paraId="628E32BF" w14:textId="79812D8A" w:rsidR="006A0D9E" w:rsidRDefault="006A0D9E" w:rsidP="006A0D9E">
      <w:r>
        <w:t xml:space="preserve">mean            3.683136      </w:t>
      </w:r>
    </w:p>
    <w:p w14:paraId="043DA5C7" w14:textId="6BBD09BB" w:rsidR="006A0D9E" w:rsidRDefault="006A0D9E" w:rsidP="006A0D9E">
      <w:r>
        <w:lastRenderedPageBreak/>
        <w:t xml:space="preserve">std                 2.298995      </w:t>
      </w:r>
    </w:p>
    <w:p w14:paraId="4C0D7558" w14:textId="4E2B3BDA" w:rsidR="006A0D9E" w:rsidRDefault="006A0D9E" w:rsidP="006A0D9E">
      <w:r>
        <w:t xml:space="preserve">min                0.000000     </w:t>
      </w:r>
    </w:p>
    <w:p w14:paraId="3B5B97B2" w14:textId="0A4EE089" w:rsidR="006A0D9E" w:rsidRDefault="006A0D9E" w:rsidP="006A0D9E">
      <w:r>
        <w:t xml:space="preserve">25%               1.997000       </w:t>
      </w:r>
    </w:p>
    <w:p w14:paraId="43D762A1" w14:textId="68FF41E3" w:rsidR="006A0D9E" w:rsidRDefault="006A0D9E" w:rsidP="006A0D9E">
      <w:r>
        <w:t xml:space="preserve">50%               3.245000       </w:t>
      </w:r>
    </w:p>
    <w:p w14:paraId="38EF8199" w14:textId="238F8E56" w:rsidR="006A0D9E" w:rsidRDefault="006A0D9E" w:rsidP="006A0D9E">
      <w:r>
        <w:t xml:space="preserve">75%               5.027000        </w:t>
      </w:r>
    </w:p>
    <w:p w14:paraId="3F3393D1" w14:textId="44C32D00" w:rsidR="00EC6762" w:rsidRPr="006A0D9E" w:rsidRDefault="006A0D9E" w:rsidP="006A0D9E">
      <w:r>
        <w:t>max               10.251000</w:t>
      </w:r>
    </w:p>
    <w:p w14:paraId="25977F62" w14:textId="66E5330C" w:rsidR="00EC6762" w:rsidRDefault="006A0D9E" w:rsidP="00EC6762">
      <w:pPr>
        <w:rPr>
          <w:b/>
          <w:bCs/>
          <w:sz w:val="24"/>
          <w:szCs w:val="24"/>
        </w:rPr>
      </w:pPr>
      <w:r w:rsidRPr="006A0D9E">
        <w:rPr>
          <w:b/>
          <w:bCs/>
          <w:sz w:val="24"/>
          <w:szCs w:val="24"/>
        </w:rPr>
        <w:t>Categorial Variables:</w:t>
      </w:r>
    </w:p>
    <w:p w14:paraId="33C19130" w14:textId="4A6C5454" w:rsidR="00EC6762" w:rsidRPr="00EC6762" w:rsidRDefault="00EC6762" w:rsidP="00EC67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Percentage of security types in the dataset:</w:t>
      </w:r>
    </w:p>
    <w:p w14:paraId="3FFEAA45" w14:textId="10D97BEE" w:rsidR="00EC6762" w:rsidRPr="00EC6762" w:rsidRDefault="00EC6762" w:rsidP="00EC6762">
      <w:pPr>
        <w:rPr>
          <w:b/>
          <w:bCs/>
          <w:sz w:val="24"/>
          <w:szCs w:val="24"/>
        </w:rPr>
      </w:pPr>
      <w:r w:rsidRPr="00EC6762">
        <w:rPr>
          <w:sz w:val="24"/>
          <w:szCs w:val="24"/>
        </w:rPr>
        <w:t>Non-marketable</w:t>
      </w:r>
      <w:r w:rsidRPr="00EC6762">
        <w:rPr>
          <w:b/>
          <w:bCs/>
          <w:sz w:val="24"/>
          <w:szCs w:val="24"/>
        </w:rPr>
        <w:t xml:space="preserve">           </w:t>
      </w:r>
      <w:r>
        <w:rPr>
          <w:b/>
          <w:bCs/>
          <w:sz w:val="24"/>
          <w:szCs w:val="24"/>
        </w:rPr>
        <w:t xml:space="preserve"> </w:t>
      </w:r>
      <w:r w:rsidRPr="00EC6762">
        <w:rPr>
          <w:sz w:val="24"/>
          <w:szCs w:val="24"/>
        </w:rPr>
        <w:t>40.84</w:t>
      </w:r>
      <w:r>
        <w:rPr>
          <w:sz w:val="24"/>
          <w:szCs w:val="24"/>
        </w:rPr>
        <w:t>%</w:t>
      </w:r>
    </w:p>
    <w:p w14:paraId="27D6E07A" w14:textId="33027E01" w:rsidR="00EC6762" w:rsidRPr="00EC6762" w:rsidRDefault="00EC6762" w:rsidP="00EC6762">
      <w:pPr>
        <w:rPr>
          <w:sz w:val="24"/>
          <w:szCs w:val="24"/>
        </w:rPr>
      </w:pPr>
      <w:r w:rsidRPr="00EC6762">
        <w:rPr>
          <w:sz w:val="24"/>
          <w:szCs w:val="24"/>
        </w:rPr>
        <w:t>Marketable</w:t>
      </w:r>
      <w:r w:rsidRPr="00EC6762"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 xml:space="preserve">       </w:t>
      </w:r>
      <w:r w:rsidRPr="00EC6762">
        <w:rPr>
          <w:sz w:val="24"/>
          <w:szCs w:val="24"/>
        </w:rPr>
        <w:t>52.97</w:t>
      </w:r>
      <w:r>
        <w:rPr>
          <w:sz w:val="24"/>
          <w:szCs w:val="24"/>
        </w:rPr>
        <w:t>%</w:t>
      </w:r>
    </w:p>
    <w:p w14:paraId="59155D0D" w14:textId="0CAE76CC" w:rsidR="00EC6762" w:rsidRDefault="00EC6762" w:rsidP="00EC6762">
      <w:pPr>
        <w:rPr>
          <w:sz w:val="24"/>
          <w:szCs w:val="24"/>
        </w:rPr>
      </w:pPr>
      <w:r w:rsidRPr="00EC6762">
        <w:rPr>
          <w:sz w:val="24"/>
          <w:szCs w:val="24"/>
        </w:rPr>
        <w:t>Interest-bearing Debt</w:t>
      </w:r>
      <w:r>
        <w:rPr>
          <w:b/>
          <w:bCs/>
          <w:sz w:val="24"/>
          <w:szCs w:val="24"/>
        </w:rPr>
        <w:t xml:space="preserve">   </w:t>
      </w:r>
      <w:r w:rsidRPr="00EC6762">
        <w:rPr>
          <w:sz w:val="24"/>
          <w:szCs w:val="24"/>
        </w:rPr>
        <w:t>6.17</w:t>
      </w:r>
      <w:r>
        <w:rPr>
          <w:sz w:val="24"/>
          <w:szCs w:val="24"/>
        </w:rPr>
        <w:t>%</w:t>
      </w:r>
    </w:p>
    <w:p w14:paraId="008F5E51" w14:textId="76D782D5" w:rsidR="00EC6762" w:rsidRDefault="00EC6762" w:rsidP="00EC6762">
      <w:pPr>
        <w:rPr>
          <w:sz w:val="24"/>
          <w:szCs w:val="24"/>
        </w:rPr>
      </w:pPr>
      <w:r>
        <w:rPr>
          <w:sz w:val="24"/>
          <w:szCs w:val="24"/>
        </w:rPr>
        <w:t>Interest- bearing Debt type is something won’t be considered for the analysis purposes.</w:t>
      </w:r>
    </w:p>
    <w:p w14:paraId="6A76B4AF" w14:textId="77777777" w:rsidR="00C814C8" w:rsidRDefault="00C814C8" w:rsidP="00EC6762">
      <w:pPr>
        <w:rPr>
          <w:sz w:val="24"/>
          <w:szCs w:val="24"/>
        </w:rPr>
      </w:pPr>
    </w:p>
    <w:p w14:paraId="41A4FBE5" w14:textId="060F135F" w:rsidR="00EC6762" w:rsidRDefault="00C814C8" w:rsidP="00EC6762">
      <w:pPr>
        <w:rPr>
          <w:sz w:val="24"/>
          <w:szCs w:val="24"/>
        </w:rPr>
      </w:pPr>
      <w:r w:rsidRPr="00EC6762">
        <w:rPr>
          <w:noProof/>
          <w:sz w:val="24"/>
          <w:szCs w:val="24"/>
        </w:rPr>
        <w:drawing>
          <wp:inline distT="0" distB="0" distL="0" distR="0" wp14:anchorId="0B66CB4D" wp14:editId="5CF11DAC">
            <wp:extent cx="4584700" cy="3759200"/>
            <wp:effectExtent l="0" t="0" r="6350" b="0"/>
            <wp:docPr id="136813382" name="Picture 1" descr="A graph of a security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3382" name="Picture 1" descr="A graph of a security ty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4CD3" w14:textId="64213E89" w:rsidR="00EC6762" w:rsidRDefault="00EC6762" w:rsidP="00EC6762">
      <w:pPr>
        <w:rPr>
          <w:b/>
          <w:bCs/>
          <w:sz w:val="24"/>
          <w:szCs w:val="24"/>
        </w:rPr>
      </w:pPr>
      <w:r w:rsidRPr="00EC676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A6902A8" wp14:editId="7BE27C9D">
            <wp:extent cx="5943600" cy="3513667"/>
            <wp:effectExtent l="0" t="0" r="0" b="0"/>
            <wp:docPr id="770716417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16417" name="Picture 1" descr="A graph of 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368" cy="351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5B7E" w14:textId="1D0567D6" w:rsidR="00604B72" w:rsidRDefault="00604B72" w:rsidP="005B57C2">
      <w:r w:rsidRPr="00604B72">
        <w:rPr>
          <w:noProof/>
        </w:rPr>
        <w:drawing>
          <wp:inline distT="0" distB="0" distL="0" distR="0" wp14:anchorId="736D341D" wp14:editId="59F2CF5A">
            <wp:extent cx="5083629" cy="3635375"/>
            <wp:effectExtent l="0" t="0" r="3175" b="3175"/>
            <wp:docPr id="541194481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94481" name="Picture 1" descr="A diagram of a box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983" cy="364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B57B" w14:textId="46C04BC1" w:rsidR="00604B72" w:rsidRDefault="00D375C4" w:rsidP="005B57C2">
      <w:r>
        <w:tab/>
      </w:r>
      <w:r>
        <w:tab/>
        <w:t>Marketable</w:t>
      </w:r>
      <w:r>
        <w:tab/>
      </w:r>
      <w:r>
        <w:tab/>
        <w:t>Non-marketable</w:t>
      </w:r>
    </w:p>
    <w:p w14:paraId="3194AB6F" w14:textId="77777777" w:rsidR="00604B72" w:rsidRDefault="00604B72" w:rsidP="005B57C2"/>
    <w:p w14:paraId="158D0116" w14:textId="77777777" w:rsidR="00604B72" w:rsidRDefault="00604B72" w:rsidP="005B57C2"/>
    <w:p w14:paraId="069DDFDA" w14:textId="77777777" w:rsidR="00604B72" w:rsidRDefault="00604B72" w:rsidP="005B57C2">
      <w:r w:rsidRPr="00604B72">
        <w:rPr>
          <w:noProof/>
        </w:rPr>
        <w:lastRenderedPageBreak/>
        <w:drawing>
          <wp:inline distT="0" distB="0" distL="0" distR="0" wp14:anchorId="1694E78B" wp14:editId="310BDD45">
            <wp:extent cx="5943600" cy="4457700"/>
            <wp:effectExtent l="0" t="0" r="0" b="0"/>
            <wp:docPr id="234089749" name="Picture 1" descr="A chart of average interest r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89749" name="Picture 1" descr="A chart of average interest rat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BA33" w14:textId="77777777" w:rsidR="00604B72" w:rsidRDefault="00604B72" w:rsidP="005B57C2"/>
    <w:p w14:paraId="32C92BEC" w14:textId="7A36CB5B" w:rsidR="00604B72" w:rsidRDefault="00604B72" w:rsidP="005B57C2">
      <w:r>
        <w:t>Dataset table with columns and some records: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851"/>
        <w:gridCol w:w="664"/>
        <w:gridCol w:w="960"/>
        <w:gridCol w:w="623"/>
        <w:gridCol w:w="818"/>
        <w:gridCol w:w="922"/>
        <w:gridCol w:w="936"/>
        <w:gridCol w:w="1039"/>
        <w:gridCol w:w="1011"/>
        <w:gridCol w:w="909"/>
      </w:tblGrid>
      <w:tr w:rsidR="00604B72" w14:paraId="5B0C6B01" w14:textId="77777777" w:rsidTr="00604B72">
        <w:tc>
          <w:tcPr>
            <w:tcW w:w="617" w:type="dxa"/>
            <w:vAlign w:val="bottom"/>
          </w:tcPr>
          <w:p w14:paraId="16F471C8" w14:textId="04F457D6" w:rsidR="00604B72" w:rsidRDefault="00604B72" w:rsidP="00604B72">
            <w:proofErr w:type="spellStart"/>
            <w:r>
              <w:rPr>
                <w:rFonts w:ascii="Calibri" w:hAnsi="Calibri" w:cs="Calibri"/>
                <w:color w:val="000000"/>
              </w:rPr>
              <w:t>record_date</w:t>
            </w:r>
            <w:proofErr w:type="spellEnd"/>
          </w:p>
        </w:tc>
        <w:tc>
          <w:tcPr>
            <w:tcW w:w="851" w:type="dxa"/>
            <w:vAlign w:val="bottom"/>
          </w:tcPr>
          <w:p w14:paraId="3ABDD262" w14:textId="2CDA72F4" w:rsidR="00604B72" w:rsidRDefault="00604B72" w:rsidP="00604B72">
            <w:proofErr w:type="spellStart"/>
            <w:r>
              <w:rPr>
                <w:rFonts w:ascii="Calibri" w:hAnsi="Calibri" w:cs="Calibri"/>
                <w:color w:val="000000"/>
              </w:rPr>
              <w:t>security_type_desc</w:t>
            </w:r>
            <w:proofErr w:type="spellEnd"/>
          </w:p>
        </w:tc>
        <w:tc>
          <w:tcPr>
            <w:tcW w:w="664" w:type="dxa"/>
            <w:vAlign w:val="bottom"/>
          </w:tcPr>
          <w:p w14:paraId="1F3CD371" w14:textId="5378B5AF" w:rsidR="00604B72" w:rsidRDefault="00604B72" w:rsidP="00604B72">
            <w:proofErr w:type="spellStart"/>
            <w:r>
              <w:rPr>
                <w:rFonts w:ascii="Calibri" w:hAnsi="Calibri" w:cs="Calibri"/>
                <w:color w:val="000000"/>
              </w:rPr>
              <w:t>security_desc</w:t>
            </w:r>
            <w:proofErr w:type="spellEnd"/>
          </w:p>
        </w:tc>
        <w:tc>
          <w:tcPr>
            <w:tcW w:w="960" w:type="dxa"/>
            <w:vAlign w:val="bottom"/>
          </w:tcPr>
          <w:p w14:paraId="7B8867B8" w14:textId="58DED982" w:rsidR="00604B72" w:rsidRDefault="00604B72" w:rsidP="00604B72">
            <w:proofErr w:type="spellStart"/>
            <w:r>
              <w:rPr>
                <w:rFonts w:ascii="Calibri" w:hAnsi="Calibri" w:cs="Calibri"/>
                <w:color w:val="000000"/>
              </w:rPr>
              <w:t>avg_interest_rate_amt</w:t>
            </w:r>
            <w:proofErr w:type="spellEnd"/>
          </w:p>
        </w:tc>
        <w:tc>
          <w:tcPr>
            <w:tcW w:w="623" w:type="dxa"/>
            <w:vAlign w:val="bottom"/>
          </w:tcPr>
          <w:p w14:paraId="3AFFFD99" w14:textId="784B2F62" w:rsidR="00604B72" w:rsidRDefault="00604B72" w:rsidP="00604B72">
            <w:proofErr w:type="spellStart"/>
            <w:r>
              <w:rPr>
                <w:rFonts w:ascii="Calibri" w:hAnsi="Calibri" w:cs="Calibri"/>
                <w:color w:val="000000"/>
              </w:rPr>
              <w:t>src_line_nbr</w:t>
            </w:r>
            <w:proofErr w:type="spellEnd"/>
          </w:p>
        </w:tc>
        <w:tc>
          <w:tcPr>
            <w:tcW w:w="818" w:type="dxa"/>
            <w:vAlign w:val="bottom"/>
          </w:tcPr>
          <w:p w14:paraId="09B0A4E3" w14:textId="7765B6AA" w:rsidR="00604B72" w:rsidRDefault="00604B72" w:rsidP="00604B72">
            <w:proofErr w:type="spellStart"/>
            <w:r>
              <w:rPr>
                <w:rFonts w:ascii="Calibri" w:hAnsi="Calibri" w:cs="Calibri"/>
                <w:color w:val="000000"/>
              </w:rPr>
              <w:t>record_fiscal_year</w:t>
            </w:r>
            <w:proofErr w:type="spellEnd"/>
          </w:p>
        </w:tc>
        <w:tc>
          <w:tcPr>
            <w:tcW w:w="922" w:type="dxa"/>
            <w:vAlign w:val="bottom"/>
          </w:tcPr>
          <w:p w14:paraId="58B244D2" w14:textId="141D7F89" w:rsidR="00604B72" w:rsidRDefault="00604B72" w:rsidP="00604B72">
            <w:proofErr w:type="spellStart"/>
            <w:r>
              <w:rPr>
                <w:rFonts w:ascii="Calibri" w:hAnsi="Calibri" w:cs="Calibri"/>
                <w:color w:val="000000"/>
              </w:rPr>
              <w:t>record_fiscal_quarter</w:t>
            </w:r>
            <w:proofErr w:type="spellEnd"/>
          </w:p>
        </w:tc>
        <w:tc>
          <w:tcPr>
            <w:tcW w:w="936" w:type="dxa"/>
            <w:vAlign w:val="bottom"/>
          </w:tcPr>
          <w:p w14:paraId="4A071A82" w14:textId="4AB27446" w:rsidR="00604B72" w:rsidRDefault="00604B72" w:rsidP="00604B72">
            <w:proofErr w:type="spellStart"/>
            <w:r>
              <w:rPr>
                <w:rFonts w:ascii="Calibri" w:hAnsi="Calibri" w:cs="Calibri"/>
                <w:color w:val="000000"/>
              </w:rPr>
              <w:t>record_calendar_year</w:t>
            </w:r>
            <w:proofErr w:type="spellEnd"/>
          </w:p>
        </w:tc>
        <w:tc>
          <w:tcPr>
            <w:tcW w:w="1039" w:type="dxa"/>
            <w:vAlign w:val="bottom"/>
          </w:tcPr>
          <w:p w14:paraId="0D90CE7D" w14:textId="3B23828A" w:rsidR="00604B72" w:rsidRDefault="00604B72" w:rsidP="00604B72">
            <w:proofErr w:type="spellStart"/>
            <w:r>
              <w:rPr>
                <w:rFonts w:ascii="Calibri" w:hAnsi="Calibri" w:cs="Calibri"/>
                <w:color w:val="000000"/>
              </w:rPr>
              <w:t>record_calendar_quarter</w:t>
            </w:r>
            <w:proofErr w:type="spellEnd"/>
          </w:p>
        </w:tc>
        <w:tc>
          <w:tcPr>
            <w:tcW w:w="1011" w:type="dxa"/>
            <w:vAlign w:val="bottom"/>
          </w:tcPr>
          <w:p w14:paraId="074E3C0C" w14:textId="5C53AB31" w:rsidR="00604B72" w:rsidRDefault="00604B72" w:rsidP="00604B72">
            <w:proofErr w:type="spellStart"/>
            <w:r>
              <w:rPr>
                <w:rFonts w:ascii="Calibri" w:hAnsi="Calibri" w:cs="Calibri"/>
                <w:color w:val="000000"/>
              </w:rPr>
              <w:t>record_calendar_month</w:t>
            </w:r>
            <w:proofErr w:type="spellEnd"/>
          </w:p>
        </w:tc>
        <w:tc>
          <w:tcPr>
            <w:tcW w:w="909" w:type="dxa"/>
            <w:vAlign w:val="bottom"/>
          </w:tcPr>
          <w:p w14:paraId="5F625965" w14:textId="10DB6672" w:rsidR="00604B72" w:rsidRDefault="00604B72" w:rsidP="00604B72">
            <w:proofErr w:type="spellStart"/>
            <w:r>
              <w:rPr>
                <w:rFonts w:ascii="Calibri" w:hAnsi="Calibri" w:cs="Calibri"/>
                <w:color w:val="000000"/>
              </w:rPr>
              <w:t>record_calendar_day</w:t>
            </w:r>
            <w:proofErr w:type="spellEnd"/>
          </w:p>
        </w:tc>
      </w:tr>
      <w:tr w:rsidR="00604B72" w14:paraId="595891B1" w14:textId="77777777" w:rsidTr="00604B72">
        <w:tc>
          <w:tcPr>
            <w:tcW w:w="617" w:type="dxa"/>
            <w:vAlign w:val="bottom"/>
          </w:tcPr>
          <w:p w14:paraId="0671F41C" w14:textId="0E580600" w:rsidR="00604B72" w:rsidRDefault="00604B72" w:rsidP="00604B72">
            <w:r w:rsidRPr="00604B72">
              <w:rPr>
                <w:rFonts w:ascii="Calibri" w:hAnsi="Calibri" w:cs="Calibri"/>
                <w:color w:val="000000"/>
              </w:rPr>
              <w:t>10/31/2021</w:t>
            </w:r>
          </w:p>
        </w:tc>
        <w:tc>
          <w:tcPr>
            <w:tcW w:w="851" w:type="dxa"/>
            <w:vAlign w:val="bottom"/>
          </w:tcPr>
          <w:p w14:paraId="5CAE9B7B" w14:textId="00E16F47" w:rsidR="00604B72" w:rsidRDefault="00604B72" w:rsidP="00604B72">
            <w:r>
              <w:rPr>
                <w:rFonts w:ascii="Calibri" w:hAnsi="Calibri" w:cs="Calibri"/>
                <w:color w:val="000000"/>
              </w:rPr>
              <w:t>Interest-bearing Debt</w:t>
            </w:r>
          </w:p>
        </w:tc>
        <w:tc>
          <w:tcPr>
            <w:tcW w:w="664" w:type="dxa"/>
            <w:vAlign w:val="bottom"/>
          </w:tcPr>
          <w:p w14:paraId="318F9833" w14:textId="6376A027" w:rsidR="00604B72" w:rsidRDefault="00604B72" w:rsidP="00604B72">
            <w:r>
              <w:rPr>
                <w:rFonts w:ascii="Calibri" w:hAnsi="Calibri" w:cs="Calibri"/>
                <w:color w:val="000000"/>
              </w:rPr>
              <w:t>Total Interest-bearing Debt</w:t>
            </w:r>
          </w:p>
        </w:tc>
        <w:tc>
          <w:tcPr>
            <w:tcW w:w="960" w:type="dxa"/>
            <w:vAlign w:val="bottom"/>
          </w:tcPr>
          <w:p w14:paraId="6CCEA02F" w14:textId="58EADC32" w:rsidR="00604B72" w:rsidRDefault="00604B72" w:rsidP="00604B72">
            <w:r>
              <w:rPr>
                <w:rFonts w:ascii="Calibri" w:hAnsi="Calibri" w:cs="Calibri"/>
                <w:color w:val="000000"/>
              </w:rPr>
              <w:t>1.592</w:t>
            </w:r>
          </w:p>
        </w:tc>
        <w:tc>
          <w:tcPr>
            <w:tcW w:w="623" w:type="dxa"/>
            <w:vAlign w:val="bottom"/>
          </w:tcPr>
          <w:p w14:paraId="4DE42C1A" w14:textId="450E6246" w:rsidR="00604B72" w:rsidRDefault="00604B72" w:rsidP="00604B72"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18" w:type="dxa"/>
            <w:vAlign w:val="bottom"/>
          </w:tcPr>
          <w:p w14:paraId="457CB331" w14:textId="53DCF7C9" w:rsidR="00604B72" w:rsidRDefault="00604B72" w:rsidP="00604B72">
            <w:r>
              <w:rPr>
                <w:rFonts w:ascii="Calibri" w:hAnsi="Calibri" w:cs="Calibri"/>
                <w:color w:val="000000"/>
              </w:rPr>
              <w:t>2022</w:t>
            </w:r>
          </w:p>
        </w:tc>
        <w:tc>
          <w:tcPr>
            <w:tcW w:w="922" w:type="dxa"/>
            <w:vAlign w:val="bottom"/>
          </w:tcPr>
          <w:p w14:paraId="5BF33F28" w14:textId="5F1ACA7C" w:rsidR="00604B72" w:rsidRDefault="00604B72" w:rsidP="00604B72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6" w:type="dxa"/>
            <w:vAlign w:val="bottom"/>
          </w:tcPr>
          <w:p w14:paraId="1DCAD200" w14:textId="21D6E98A" w:rsidR="00604B72" w:rsidRDefault="00604B72" w:rsidP="00604B72"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1039" w:type="dxa"/>
            <w:vAlign w:val="bottom"/>
          </w:tcPr>
          <w:p w14:paraId="08E71621" w14:textId="4CCA1B97" w:rsidR="00604B72" w:rsidRDefault="00604B72" w:rsidP="00604B72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11" w:type="dxa"/>
            <w:vAlign w:val="bottom"/>
          </w:tcPr>
          <w:p w14:paraId="2448B872" w14:textId="00913C23" w:rsidR="00604B72" w:rsidRDefault="00604B72" w:rsidP="00604B72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9" w:type="dxa"/>
            <w:vAlign w:val="bottom"/>
          </w:tcPr>
          <w:p w14:paraId="14D8B9B2" w14:textId="5EBCBABE" w:rsidR="00604B72" w:rsidRDefault="00604B72" w:rsidP="00604B72">
            <w:r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604B72" w14:paraId="09B64769" w14:textId="77777777" w:rsidTr="00604B72">
        <w:tc>
          <w:tcPr>
            <w:tcW w:w="617" w:type="dxa"/>
            <w:vAlign w:val="bottom"/>
          </w:tcPr>
          <w:p w14:paraId="35DA1DB3" w14:textId="4269E656" w:rsidR="00604B72" w:rsidRDefault="00604B72" w:rsidP="00604B72">
            <w:r>
              <w:rPr>
                <w:rFonts w:ascii="Calibri" w:hAnsi="Calibri" w:cs="Calibri"/>
                <w:color w:val="000000"/>
              </w:rPr>
              <w:t>10/31/2021</w:t>
            </w:r>
          </w:p>
        </w:tc>
        <w:tc>
          <w:tcPr>
            <w:tcW w:w="851" w:type="dxa"/>
            <w:vAlign w:val="bottom"/>
          </w:tcPr>
          <w:p w14:paraId="0BB2332C" w14:textId="345CAB70" w:rsidR="00604B72" w:rsidRDefault="00604B72" w:rsidP="00604B72">
            <w:r>
              <w:rPr>
                <w:rFonts w:ascii="Calibri" w:hAnsi="Calibri" w:cs="Calibri"/>
                <w:color w:val="000000"/>
              </w:rPr>
              <w:t>Non-marketable</w:t>
            </w:r>
          </w:p>
        </w:tc>
        <w:tc>
          <w:tcPr>
            <w:tcW w:w="664" w:type="dxa"/>
            <w:vAlign w:val="bottom"/>
          </w:tcPr>
          <w:p w14:paraId="4E61DBFA" w14:textId="3BC99E87" w:rsidR="00604B72" w:rsidRDefault="00604B72" w:rsidP="00604B72">
            <w:r>
              <w:rPr>
                <w:rFonts w:ascii="Calibri" w:hAnsi="Calibri" w:cs="Calibri"/>
                <w:color w:val="000000"/>
              </w:rPr>
              <w:t xml:space="preserve">United States Savings </w:t>
            </w:r>
          </w:p>
        </w:tc>
        <w:tc>
          <w:tcPr>
            <w:tcW w:w="960" w:type="dxa"/>
            <w:vAlign w:val="bottom"/>
          </w:tcPr>
          <w:p w14:paraId="1B40DA1E" w14:textId="01AF7812" w:rsidR="00604B72" w:rsidRDefault="00604B72" w:rsidP="00604B72">
            <w:r>
              <w:rPr>
                <w:rFonts w:ascii="Calibri" w:hAnsi="Calibri" w:cs="Calibri"/>
                <w:color w:val="000000"/>
              </w:rPr>
              <w:t>2.522</w:t>
            </w:r>
          </w:p>
        </w:tc>
        <w:tc>
          <w:tcPr>
            <w:tcW w:w="623" w:type="dxa"/>
            <w:vAlign w:val="bottom"/>
          </w:tcPr>
          <w:p w14:paraId="21FC71A3" w14:textId="20C77E61" w:rsidR="00604B72" w:rsidRDefault="00604B72" w:rsidP="00604B72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18" w:type="dxa"/>
            <w:vAlign w:val="bottom"/>
          </w:tcPr>
          <w:p w14:paraId="6CA051A7" w14:textId="05AE3761" w:rsidR="00604B72" w:rsidRDefault="00604B72" w:rsidP="00604B72">
            <w:r>
              <w:rPr>
                <w:rFonts w:ascii="Calibri" w:hAnsi="Calibri" w:cs="Calibri"/>
                <w:color w:val="000000"/>
              </w:rPr>
              <w:t>2022</w:t>
            </w:r>
          </w:p>
        </w:tc>
        <w:tc>
          <w:tcPr>
            <w:tcW w:w="922" w:type="dxa"/>
            <w:vAlign w:val="bottom"/>
          </w:tcPr>
          <w:p w14:paraId="5D6972E5" w14:textId="1E532265" w:rsidR="00604B72" w:rsidRDefault="00604B72" w:rsidP="00604B72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6" w:type="dxa"/>
            <w:vAlign w:val="bottom"/>
          </w:tcPr>
          <w:p w14:paraId="3169A584" w14:textId="23CC6DDD" w:rsidR="00604B72" w:rsidRDefault="00604B72" w:rsidP="00604B72"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1039" w:type="dxa"/>
            <w:vAlign w:val="bottom"/>
          </w:tcPr>
          <w:p w14:paraId="3CFF8920" w14:textId="258CECF5" w:rsidR="00604B72" w:rsidRDefault="00604B72" w:rsidP="00604B72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11" w:type="dxa"/>
            <w:vAlign w:val="bottom"/>
          </w:tcPr>
          <w:p w14:paraId="323C781A" w14:textId="702DDA9F" w:rsidR="00604B72" w:rsidRDefault="00604B72" w:rsidP="00604B72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9" w:type="dxa"/>
            <w:vAlign w:val="bottom"/>
          </w:tcPr>
          <w:p w14:paraId="54D8515D" w14:textId="02F36530" w:rsidR="00604B72" w:rsidRDefault="00604B72" w:rsidP="00604B72">
            <w:r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604B72" w14:paraId="5EBDB364" w14:textId="77777777" w:rsidTr="00604B72">
        <w:tc>
          <w:tcPr>
            <w:tcW w:w="617" w:type="dxa"/>
            <w:vAlign w:val="bottom"/>
          </w:tcPr>
          <w:p w14:paraId="30DE4CD4" w14:textId="0D0AF7FD" w:rsidR="00604B72" w:rsidRDefault="00604B72" w:rsidP="00604B72">
            <w:r>
              <w:rPr>
                <w:rFonts w:ascii="Calibri" w:hAnsi="Calibri" w:cs="Calibri"/>
                <w:color w:val="000000"/>
              </w:rPr>
              <w:lastRenderedPageBreak/>
              <w:t>10/31/2021</w:t>
            </w:r>
          </w:p>
        </w:tc>
        <w:tc>
          <w:tcPr>
            <w:tcW w:w="851" w:type="dxa"/>
            <w:vAlign w:val="bottom"/>
          </w:tcPr>
          <w:p w14:paraId="5B363802" w14:textId="1FA9954B" w:rsidR="00604B72" w:rsidRDefault="00604B72" w:rsidP="00604B72">
            <w:r>
              <w:rPr>
                <w:rFonts w:ascii="Calibri" w:hAnsi="Calibri" w:cs="Calibri"/>
                <w:color w:val="000000"/>
              </w:rPr>
              <w:t>Non-marketable</w:t>
            </w:r>
          </w:p>
        </w:tc>
        <w:tc>
          <w:tcPr>
            <w:tcW w:w="664" w:type="dxa"/>
            <w:vAlign w:val="bottom"/>
          </w:tcPr>
          <w:p w14:paraId="4A0F7A25" w14:textId="3CEC1D7F" w:rsidR="00604B72" w:rsidRDefault="00604B72" w:rsidP="00604B72">
            <w:r>
              <w:rPr>
                <w:rFonts w:ascii="Calibri" w:hAnsi="Calibri" w:cs="Calibri"/>
                <w:color w:val="000000"/>
              </w:rPr>
              <w:t>United States Savings Inflation Securities</w:t>
            </w:r>
          </w:p>
        </w:tc>
        <w:tc>
          <w:tcPr>
            <w:tcW w:w="960" w:type="dxa"/>
            <w:vAlign w:val="bottom"/>
          </w:tcPr>
          <w:p w14:paraId="4ECDB9FA" w14:textId="7B660593" w:rsidR="00604B72" w:rsidRDefault="00604B72" w:rsidP="00604B72">
            <w:r>
              <w:rPr>
                <w:rFonts w:ascii="Calibri" w:hAnsi="Calibri" w:cs="Calibri"/>
                <w:color w:val="000000"/>
              </w:rPr>
              <w:t>5.272</w:t>
            </w:r>
          </w:p>
        </w:tc>
        <w:tc>
          <w:tcPr>
            <w:tcW w:w="623" w:type="dxa"/>
            <w:vAlign w:val="bottom"/>
          </w:tcPr>
          <w:p w14:paraId="4564922C" w14:textId="19288A44" w:rsidR="00604B72" w:rsidRDefault="00604B72" w:rsidP="00604B72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18" w:type="dxa"/>
            <w:vAlign w:val="bottom"/>
          </w:tcPr>
          <w:p w14:paraId="3E488078" w14:textId="7ED2EEC8" w:rsidR="00604B72" w:rsidRDefault="00604B72" w:rsidP="00604B72">
            <w:r>
              <w:rPr>
                <w:rFonts w:ascii="Calibri" w:hAnsi="Calibri" w:cs="Calibri"/>
                <w:color w:val="000000"/>
              </w:rPr>
              <w:t>2022</w:t>
            </w:r>
          </w:p>
        </w:tc>
        <w:tc>
          <w:tcPr>
            <w:tcW w:w="922" w:type="dxa"/>
            <w:vAlign w:val="bottom"/>
          </w:tcPr>
          <w:p w14:paraId="7E75574D" w14:textId="3A349C5C" w:rsidR="00604B72" w:rsidRDefault="00604B72" w:rsidP="00604B72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6" w:type="dxa"/>
            <w:vAlign w:val="bottom"/>
          </w:tcPr>
          <w:p w14:paraId="76A331C3" w14:textId="5830FAD6" w:rsidR="00604B72" w:rsidRDefault="00604B72" w:rsidP="00604B72"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1039" w:type="dxa"/>
            <w:vAlign w:val="bottom"/>
          </w:tcPr>
          <w:p w14:paraId="6DB8EB5D" w14:textId="13AFFF8B" w:rsidR="00604B72" w:rsidRDefault="00604B72" w:rsidP="00604B72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11" w:type="dxa"/>
            <w:vAlign w:val="bottom"/>
          </w:tcPr>
          <w:p w14:paraId="6A2A53C8" w14:textId="17A84F71" w:rsidR="00604B72" w:rsidRDefault="00604B72" w:rsidP="00604B72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9" w:type="dxa"/>
            <w:vAlign w:val="bottom"/>
          </w:tcPr>
          <w:p w14:paraId="74DD0961" w14:textId="2044BAE9" w:rsidR="00604B72" w:rsidRDefault="00604B72" w:rsidP="00604B72">
            <w:r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604B72" w14:paraId="254B1C27" w14:textId="77777777" w:rsidTr="00604B72">
        <w:tc>
          <w:tcPr>
            <w:tcW w:w="617" w:type="dxa"/>
            <w:vAlign w:val="bottom"/>
          </w:tcPr>
          <w:p w14:paraId="2E97E58F" w14:textId="02D4ACFF" w:rsidR="00604B72" w:rsidRDefault="00604B72" w:rsidP="00604B72">
            <w:r>
              <w:rPr>
                <w:rFonts w:ascii="Calibri" w:hAnsi="Calibri" w:cs="Calibri"/>
                <w:color w:val="000000"/>
              </w:rPr>
              <w:t>10/31/2021</w:t>
            </w:r>
          </w:p>
        </w:tc>
        <w:tc>
          <w:tcPr>
            <w:tcW w:w="851" w:type="dxa"/>
            <w:vAlign w:val="bottom"/>
          </w:tcPr>
          <w:p w14:paraId="144E7DD0" w14:textId="1B6E5646" w:rsidR="00604B72" w:rsidRDefault="00604B72" w:rsidP="00604B72">
            <w:r>
              <w:rPr>
                <w:rFonts w:ascii="Calibri" w:hAnsi="Calibri" w:cs="Calibri"/>
                <w:color w:val="000000"/>
              </w:rPr>
              <w:t>Marketable</w:t>
            </w:r>
          </w:p>
        </w:tc>
        <w:tc>
          <w:tcPr>
            <w:tcW w:w="664" w:type="dxa"/>
            <w:vAlign w:val="bottom"/>
          </w:tcPr>
          <w:p w14:paraId="223D4664" w14:textId="0CB90D82" w:rsidR="00604B72" w:rsidRDefault="00604B72" w:rsidP="00604B72">
            <w:r>
              <w:rPr>
                <w:rFonts w:ascii="Calibri" w:hAnsi="Calibri" w:cs="Calibri"/>
                <w:color w:val="000000"/>
              </w:rPr>
              <w:t>Federal Financing Bank</w:t>
            </w:r>
          </w:p>
        </w:tc>
        <w:tc>
          <w:tcPr>
            <w:tcW w:w="960" w:type="dxa"/>
            <w:vAlign w:val="bottom"/>
          </w:tcPr>
          <w:p w14:paraId="23C23C27" w14:textId="0D2EA371" w:rsidR="00604B72" w:rsidRDefault="00604B72" w:rsidP="00604B72">
            <w:r>
              <w:rPr>
                <w:rFonts w:ascii="Calibri" w:hAnsi="Calibri" w:cs="Calibri"/>
                <w:color w:val="000000"/>
              </w:rPr>
              <w:t>2.598</w:t>
            </w:r>
          </w:p>
        </w:tc>
        <w:tc>
          <w:tcPr>
            <w:tcW w:w="623" w:type="dxa"/>
            <w:vAlign w:val="bottom"/>
          </w:tcPr>
          <w:p w14:paraId="6D8A6521" w14:textId="42E27F50" w:rsidR="00604B72" w:rsidRDefault="00604B72" w:rsidP="00604B72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8" w:type="dxa"/>
            <w:vAlign w:val="bottom"/>
          </w:tcPr>
          <w:p w14:paraId="71568F55" w14:textId="21F3492D" w:rsidR="00604B72" w:rsidRDefault="00604B72" w:rsidP="00604B72">
            <w:r>
              <w:rPr>
                <w:rFonts w:ascii="Calibri" w:hAnsi="Calibri" w:cs="Calibri"/>
                <w:color w:val="000000"/>
              </w:rPr>
              <w:t>2022</w:t>
            </w:r>
          </w:p>
        </w:tc>
        <w:tc>
          <w:tcPr>
            <w:tcW w:w="922" w:type="dxa"/>
            <w:vAlign w:val="bottom"/>
          </w:tcPr>
          <w:p w14:paraId="20C5A2E5" w14:textId="1128001A" w:rsidR="00604B72" w:rsidRDefault="00604B72" w:rsidP="00604B72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6" w:type="dxa"/>
            <w:vAlign w:val="bottom"/>
          </w:tcPr>
          <w:p w14:paraId="5906FE23" w14:textId="682C5C06" w:rsidR="00604B72" w:rsidRDefault="00604B72" w:rsidP="00604B72"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1039" w:type="dxa"/>
            <w:vAlign w:val="bottom"/>
          </w:tcPr>
          <w:p w14:paraId="7C506179" w14:textId="2B602A0E" w:rsidR="00604B72" w:rsidRDefault="00604B72" w:rsidP="00604B72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11" w:type="dxa"/>
            <w:vAlign w:val="bottom"/>
          </w:tcPr>
          <w:p w14:paraId="32B85A37" w14:textId="087DD742" w:rsidR="00604B72" w:rsidRDefault="00604B72" w:rsidP="00604B72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9" w:type="dxa"/>
            <w:vAlign w:val="bottom"/>
          </w:tcPr>
          <w:p w14:paraId="6569C22D" w14:textId="4B08FDFF" w:rsidR="00604B72" w:rsidRDefault="00604B72" w:rsidP="00604B72">
            <w:r>
              <w:rPr>
                <w:rFonts w:ascii="Calibri" w:hAnsi="Calibri" w:cs="Calibri"/>
                <w:color w:val="000000"/>
              </w:rPr>
              <w:t>31</w:t>
            </w:r>
          </w:p>
        </w:tc>
      </w:tr>
    </w:tbl>
    <w:p w14:paraId="3CBDBC6F" w14:textId="77777777" w:rsidR="00604B72" w:rsidRPr="00DA538C" w:rsidRDefault="00604B72" w:rsidP="005B57C2">
      <w:pPr>
        <w:rPr>
          <w:sz w:val="24"/>
          <w:szCs w:val="24"/>
        </w:rPr>
      </w:pPr>
    </w:p>
    <w:p w14:paraId="4AB7811C" w14:textId="77777777" w:rsidR="00DA538C" w:rsidRDefault="00DA538C" w:rsidP="006E494D">
      <w:pPr>
        <w:rPr>
          <w:b/>
          <w:bCs/>
          <w:sz w:val="24"/>
          <w:szCs w:val="24"/>
        </w:rPr>
      </w:pPr>
      <w:r w:rsidRPr="00DA538C">
        <w:rPr>
          <w:b/>
          <w:bCs/>
          <w:sz w:val="24"/>
          <w:szCs w:val="24"/>
        </w:rPr>
        <w:t>Null Columns from the Dataset:</w:t>
      </w:r>
    </w:p>
    <w:p w14:paraId="5E998441" w14:textId="6B5B096B" w:rsidR="00DA538C" w:rsidRDefault="006E494D" w:rsidP="006E494D">
      <w:proofErr w:type="spellStart"/>
      <w:r>
        <w:t>avg_interest_rate_amt</w:t>
      </w:r>
      <w:proofErr w:type="spellEnd"/>
      <w:r>
        <w:t xml:space="preserve">      </w:t>
      </w:r>
      <w:r>
        <w:tab/>
        <w:t>28</w:t>
      </w:r>
    </w:p>
    <w:p w14:paraId="41AE44C0" w14:textId="77777777" w:rsidR="00DA538C" w:rsidRPr="00DA538C" w:rsidRDefault="00DA538C" w:rsidP="00DA538C">
      <w:pPr>
        <w:rPr>
          <w:b/>
          <w:bCs/>
          <w:sz w:val="24"/>
          <w:szCs w:val="24"/>
        </w:rPr>
      </w:pPr>
      <w:r w:rsidRPr="00DA538C">
        <w:rPr>
          <w:b/>
          <w:bCs/>
          <w:sz w:val="24"/>
          <w:szCs w:val="24"/>
        </w:rPr>
        <w:t>Year 2005:</w:t>
      </w:r>
    </w:p>
    <w:p w14:paraId="1E64C833" w14:textId="1E854157" w:rsidR="00DA538C" w:rsidRPr="005711D3" w:rsidRDefault="00DA538C" w:rsidP="00DA538C">
      <w:pPr>
        <w:rPr>
          <w:sz w:val="24"/>
          <w:szCs w:val="24"/>
        </w:rPr>
      </w:pPr>
      <w:r w:rsidRPr="00DA538C">
        <w:rPr>
          <w:b/>
          <w:bCs/>
          <w:sz w:val="24"/>
          <w:szCs w:val="24"/>
        </w:rPr>
        <w:t xml:space="preserve">- </w:t>
      </w:r>
      <w:proofErr w:type="spellStart"/>
      <w:r w:rsidRPr="005711D3">
        <w:rPr>
          <w:sz w:val="24"/>
          <w:szCs w:val="24"/>
        </w:rPr>
        <w:t>avg_interest_rate_amt</w:t>
      </w:r>
      <w:proofErr w:type="spellEnd"/>
      <w:r w:rsidRPr="005711D3">
        <w:rPr>
          <w:sz w:val="24"/>
          <w:szCs w:val="24"/>
        </w:rPr>
        <w:t xml:space="preserve">: </w:t>
      </w:r>
      <w:r w:rsidRPr="005711D3">
        <w:t>24 null values</w:t>
      </w:r>
    </w:p>
    <w:p w14:paraId="1B6116C9" w14:textId="77777777" w:rsidR="00DA538C" w:rsidRPr="00DA538C" w:rsidRDefault="00DA538C" w:rsidP="00DA538C">
      <w:pPr>
        <w:rPr>
          <w:b/>
          <w:bCs/>
          <w:sz w:val="24"/>
          <w:szCs w:val="24"/>
        </w:rPr>
      </w:pPr>
      <w:r w:rsidRPr="00DA538C">
        <w:rPr>
          <w:b/>
          <w:bCs/>
          <w:sz w:val="24"/>
          <w:szCs w:val="24"/>
        </w:rPr>
        <w:t>Year 2006:</w:t>
      </w:r>
    </w:p>
    <w:p w14:paraId="59AD17A9" w14:textId="0F08C165" w:rsidR="006E494D" w:rsidRPr="005711D3" w:rsidRDefault="00DA538C" w:rsidP="006E494D">
      <w:r w:rsidRPr="005711D3">
        <w:t xml:space="preserve">- </w:t>
      </w:r>
      <w:proofErr w:type="spellStart"/>
      <w:r w:rsidRPr="005711D3">
        <w:t>avg_interest_rate_amt</w:t>
      </w:r>
      <w:proofErr w:type="spellEnd"/>
      <w:r w:rsidRPr="005711D3">
        <w:t>: 4 null values</w:t>
      </w:r>
      <w:r w:rsidR="00E72DA9" w:rsidRPr="005711D3">
        <w:t xml:space="preserve"> </w:t>
      </w:r>
      <w:r w:rsidR="006E494D" w:rsidRPr="005711D3">
        <w:tab/>
      </w:r>
      <w:r w:rsidR="006E494D" w:rsidRPr="005711D3">
        <w:tab/>
      </w:r>
    </w:p>
    <w:p w14:paraId="34542F6C" w14:textId="77777777" w:rsidR="00604B72" w:rsidRDefault="00604B72" w:rsidP="005B57C2"/>
    <w:p w14:paraId="046052E8" w14:textId="78C4E362" w:rsidR="005B57C2" w:rsidRPr="00DA538C" w:rsidRDefault="005B57C2" w:rsidP="005B57C2">
      <w:pPr>
        <w:rPr>
          <w:b/>
          <w:bCs/>
          <w:sz w:val="28"/>
          <w:szCs w:val="28"/>
        </w:rPr>
      </w:pPr>
      <w:r w:rsidRPr="00DA538C">
        <w:rPr>
          <w:b/>
          <w:bCs/>
          <w:sz w:val="28"/>
          <w:szCs w:val="28"/>
        </w:rPr>
        <w:t>Conclusion</w:t>
      </w:r>
    </w:p>
    <w:p w14:paraId="7D4DB980" w14:textId="6650BBD4" w:rsidR="006A0D9E" w:rsidRDefault="005B57C2" w:rsidP="005B57C2">
      <w:r>
        <w:t>This EDA report provides insights into the U.S. Treasury Securities Interest Rates dataset. It outlines data summary, univariate analysis</w:t>
      </w:r>
      <w:r w:rsidR="002D20F6">
        <w:t>, histogram</w:t>
      </w:r>
      <w:r>
        <w:t xml:space="preserve">, </w:t>
      </w:r>
      <w:r w:rsidR="002D20F6">
        <w:t xml:space="preserve">box plot, heatmap of average interest </w:t>
      </w:r>
      <w:r w:rsidR="00E31472">
        <w:t>rates.</w:t>
      </w:r>
      <w:r>
        <w:t xml:space="preserve"> The analysis reveals key statistics, distributions,</w:t>
      </w:r>
      <w:r w:rsidR="00DA538C">
        <w:t xml:space="preserve"> null values</w:t>
      </w:r>
      <w:r>
        <w:t xml:space="preserve"> and relationships within the dataset.</w:t>
      </w:r>
    </w:p>
    <w:p w14:paraId="13EA8A5D" w14:textId="77777777" w:rsidR="007274CB" w:rsidRDefault="007274CB" w:rsidP="00727ABD"/>
    <w:p w14:paraId="36DA5143" w14:textId="34472D19" w:rsidR="00727ABD" w:rsidRDefault="007274CB" w:rsidP="00727ABD">
      <w:r>
        <w:t xml:space="preserve"> </w:t>
      </w:r>
    </w:p>
    <w:sectPr w:rsidR="0072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2DCF"/>
    <w:multiLevelType w:val="hybridMultilevel"/>
    <w:tmpl w:val="BDA4C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AD36CF"/>
    <w:multiLevelType w:val="multilevel"/>
    <w:tmpl w:val="C514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A0363A"/>
    <w:multiLevelType w:val="multilevel"/>
    <w:tmpl w:val="2A8A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0E0041"/>
    <w:multiLevelType w:val="hybridMultilevel"/>
    <w:tmpl w:val="AD5AD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B6A92"/>
    <w:multiLevelType w:val="multilevel"/>
    <w:tmpl w:val="5344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AF1F86"/>
    <w:multiLevelType w:val="hybridMultilevel"/>
    <w:tmpl w:val="03B8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542646">
    <w:abstractNumId w:val="4"/>
  </w:num>
  <w:num w:numId="2" w16cid:durableId="2102677733">
    <w:abstractNumId w:val="1"/>
  </w:num>
  <w:num w:numId="3" w16cid:durableId="1647276934">
    <w:abstractNumId w:val="2"/>
  </w:num>
  <w:num w:numId="4" w16cid:durableId="1730181896">
    <w:abstractNumId w:val="0"/>
  </w:num>
  <w:num w:numId="5" w16cid:durableId="143933443">
    <w:abstractNumId w:val="5"/>
  </w:num>
  <w:num w:numId="6" w16cid:durableId="1130366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BD"/>
    <w:rsid w:val="002D20F6"/>
    <w:rsid w:val="00350389"/>
    <w:rsid w:val="005711D3"/>
    <w:rsid w:val="005B57C2"/>
    <w:rsid w:val="00604B72"/>
    <w:rsid w:val="006A0D9E"/>
    <w:rsid w:val="006E494D"/>
    <w:rsid w:val="007274CB"/>
    <w:rsid w:val="00727ABD"/>
    <w:rsid w:val="00765CFD"/>
    <w:rsid w:val="007C67B8"/>
    <w:rsid w:val="00A8736D"/>
    <w:rsid w:val="00C814C8"/>
    <w:rsid w:val="00D375C4"/>
    <w:rsid w:val="00DA538C"/>
    <w:rsid w:val="00E31472"/>
    <w:rsid w:val="00E372EF"/>
    <w:rsid w:val="00E72DA9"/>
    <w:rsid w:val="00E74896"/>
    <w:rsid w:val="00EC6762"/>
    <w:rsid w:val="00E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2801"/>
  <w15:chartTrackingRefBased/>
  <w15:docId w15:val="{3E54D428-AF00-48E3-9EA6-E8E8F48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73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73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736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A8736D"/>
    <w:rPr>
      <w:b/>
      <w:bCs/>
    </w:rPr>
  </w:style>
  <w:style w:type="paragraph" w:styleId="NormalWeb">
    <w:name w:val="Normal (Web)"/>
    <w:basedOn w:val="Normal"/>
    <w:uiPriority w:val="99"/>
    <w:unhideWhenUsed/>
    <w:rsid w:val="00A8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873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73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87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3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5CFD"/>
    <w:pPr>
      <w:ind w:left="720"/>
      <w:contextualSpacing/>
    </w:pPr>
  </w:style>
  <w:style w:type="table" w:styleId="TableGrid">
    <w:name w:val="Table Grid"/>
    <w:basedOn w:val="TableNormal"/>
    <w:uiPriority w:val="39"/>
    <w:rsid w:val="0060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iscaldata.treasury.gov/datasets/average-interest-rates-treasury-securities/average-interest-rates-on-u-s-treasury-securiti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chithimalli</dc:creator>
  <cp:keywords/>
  <dc:description/>
  <cp:lastModifiedBy>chakri chithimalli</cp:lastModifiedBy>
  <cp:revision>15</cp:revision>
  <dcterms:created xsi:type="dcterms:W3CDTF">2023-10-19T19:24:00Z</dcterms:created>
  <dcterms:modified xsi:type="dcterms:W3CDTF">2023-10-22T07:35:00Z</dcterms:modified>
</cp:coreProperties>
</file>