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C6E"/>
          <w:sz w:val="36"/>
        </w:rPr>
        <w:t>NEURALMIND — EXECUTIVE SUMMARY</w:t>
      </w:r>
    </w:p>
    <w:p>
      <w:pPr>
        <w:spacing w:after="40"/>
        <w:jc w:val="center"/>
      </w:pPr>
      <w:r>
        <w:rPr>
          <w:rFonts w:ascii="Calibri" w:hAnsi="Calibri"/>
          <w:color w:val="555555"/>
          <w:sz w:val="24"/>
        </w:rPr>
        <w:t>Strategic Market &amp; Product Report</w:t>
      </w:r>
    </w:p>
    <w:p>
      <w:pPr>
        <w:spacing w:after="160"/>
        <w:jc w:val="center"/>
      </w:pPr>
      <w:r>
        <w:rPr>
          <w:rFonts w:ascii="Calibri" w:hAnsi="Calibri"/>
          <w:color w:val="888888"/>
          <w:sz w:val="20"/>
        </w:rPr>
        <w:t>July 2026</w:t>
      </w:r>
    </w:p>
    <w:p>
      <w:pPr>
        <w:spacing w:after="160"/>
        <w:pBdr>
          <w:bottom w:val="single" w:sz="6" w:space="1" w:color="1A3C6E"/>
        </w:pBdr>
      </w:pPr>
    </w:p>
    <w:p>
      <w:pPr>
        <w:spacing w:before="240" w:after="120"/>
      </w:pPr>
      <w:r>
        <w:rPr>
          <w:rFonts w:ascii="Calibri" w:hAnsi="Calibri"/>
          <w:b/>
          <w:color w:val="1A3C6E"/>
          <w:sz w:val="28"/>
        </w:rPr>
        <w:t>MARKET OPPORTUNITY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 xml:space="preserve"> Global AI coding market: $7.65B (2025) → $22.2B (2030) at 23.8% CAGR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 xml:space="preserve"> Cloud dominates at 72.5% share — but on-prem growing faster (26.6% CAGR)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 xml:space="preserve"> Enterprise AI adoption at 91% — table stakes, not differentiator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 xml:space="preserve"> 40% of AI projects cancelled by 2027 — privacy-first approach mitigates risk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 xml:space="preserve"> Gartner: 75% of developers will use AI coding tools by 2028</w:t>
      </w:r>
    </w:p>
    <w:p>
      <w:pPr>
        <w:spacing w:before="240" w:after="120"/>
      </w:pPr>
      <w:r>
        <w:rPr>
          <w:rFonts w:ascii="Calibri" w:hAnsi="Calibri"/>
          <w:b/>
          <w:color w:val="1A3C6E"/>
          <w:sz w:val="28"/>
        </w:rPr>
        <w:t>KEY DIFFERENTIATORS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 xml:space="preserve"> Local-First / Zero Code Egress — all graph indexing on-device, no code leaves premise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 xml:space="preserve"> Graph-Based Semantic Intelligence — 8000+ node codebases, multi-language (Python, TS, Go, Rust, Java, C/C++)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 xml:space="preserve"> Self-Improving Synapse Layer — system learns from usage, self-documenting over time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 xml:space="preserve"> Open Architecture — pluggable vector backends, IDE-agnostic via MCP, no vendor lock-in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</w:tcPr>
          <w:p>
            <w:pPr>
              <w:spacing w:before="80"/>
            </w:pPr>
            <w:r/>
            <w:r>
              <w:rPr>
                <w:rFonts w:ascii="Calibri" w:hAnsi="Calibri"/>
                <w:b/>
                <w:color w:val="1A3C6E"/>
                <w:sz w:val="22"/>
              </w:rPr>
              <w:t>TOP REFACTORING PRIORITIES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06"/>
              <w:gridCol w:w="1606"/>
              <w:gridCol w:w="1606"/>
            </w:tblGrid>
            <w:tr>
              <w:tc>
                <w:tcPr>
                  <w:tcW w:type="dxa" w:w="1606"/>
                  <w:shd w:val="clear" w:color="auto" w:fill="1A3C6E"/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/>
                      <w:color w:val="FFFFFF"/>
                      <w:sz w:val="18"/>
                    </w:rPr>
                    <w:t>Priority</w:t>
                  </w:r>
                </w:p>
              </w:tc>
              <w:tc>
                <w:tcPr>
                  <w:tcW w:type="dxa" w:w="1606"/>
                  <w:shd w:val="clear" w:color="auto" w:fill="1A3C6E"/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/>
                      <w:color w:val="FFFFFF"/>
                      <w:sz w:val="18"/>
                    </w:rPr>
                    <w:t>Impact</w:t>
                  </w:r>
                </w:p>
              </w:tc>
              <w:tc>
                <w:tcPr>
                  <w:tcW w:type="dxa" w:w="1606"/>
                  <w:shd w:val="clear" w:color="auto" w:fill="1A3C6E"/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/>
                      <w:color w:val="FFFFFF"/>
                      <w:sz w:val="18"/>
                    </w:rPr>
                    <w:t>Effort</w:t>
                  </w:r>
                </w:p>
              </w:tc>
            </w:tr>
            <w:tr>
              <w:tc>
                <w:tcPr>
                  <w:tcW w:type="dxa" w:w="1606"/>
                </w:tcPr>
                <w:p>
                  <w:r/>
                  <w:r>
                    <w:rPr>
                      <w:rFonts w:ascii="Calibri" w:hAnsi="Calibri"/>
                      <w:b w:val="0"/>
                      <w:sz w:val="18"/>
                    </w:rPr>
                    <w:t>core.py decomposition</w:t>
                  </w:r>
                </w:p>
              </w:tc>
              <w:tc>
                <w:tcPr>
                  <w:tcW w:type="dxa" w:w="1606"/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 w:val="0"/>
                      <w:sz w:val="18"/>
                    </w:rPr>
                    <w:t>HIGH</w:t>
                  </w:r>
                </w:p>
              </w:tc>
              <w:tc>
                <w:tcPr>
                  <w:tcW w:type="dxa" w:w="1606"/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 w:val="0"/>
                      <w:sz w:val="18"/>
                    </w:rPr>
                    <w:t>MED</w:t>
                  </w:r>
                </w:p>
              </w:tc>
            </w:tr>
            <w:tr>
              <w:tc>
                <w:tcPr>
                  <w:tcW w:type="dxa" w:w="1606"/>
                  <w:shd w:val="clear" w:color="auto" w:fill="F2F2F2"/>
                </w:tcPr>
                <w:p>
                  <w:r/>
                  <w:r>
                    <w:rPr>
                      <w:rFonts w:ascii="Calibri" w:hAnsi="Calibri"/>
                      <w:b w:val="0"/>
                      <w:sz w:val="18"/>
                    </w:rPr>
                    <w:t>ir.py modularization</w:t>
                  </w:r>
                </w:p>
              </w:tc>
              <w:tc>
                <w:tcPr>
                  <w:tcW w:type="dxa" w:w="1606"/>
                  <w:shd w:val="clear" w:color="auto" w:fill="F2F2F2"/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 w:val="0"/>
                      <w:sz w:val="18"/>
                    </w:rPr>
                    <w:t>HIGH</w:t>
                  </w:r>
                </w:p>
              </w:tc>
              <w:tc>
                <w:tcPr>
                  <w:tcW w:type="dxa" w:w="1606"/>
                  <w:shd w:val="clear" w:color="auto" w:fill="F2F2F2"/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 w:val="0"/>
                      <w:sz w:val="18"/>
                    </w:rPr>
                    <w:t>LOW</w:t>
                  </w:r>
                </w:p>
              </w:tc>
            </w:tr>
            <w:tr>
              <w:tc>
                <w:tcPr>
                  <w:tcW w:type="dxa" w:w="1606"/>
                </w:tcPr>
                <w:p>
                  <w:r/>
                  <w:r>
                    <w:rPr>
                      <w:rFonts w:ascii="Calibri" w:hAnsi="Calibri"/>
                      <w:b w:val="0"/>
                      <w:sz w:val="18"/>
                    </w:rPr>
                    <w:t>Remove regex-experiment.py</w:t>
                  </w:r>
                </w:p>
              </w:tc>
              <w:tc>
                <w:tcPr>
                  <w:tcW w:type="dxa" w:w="1606"/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 w:val="0"/>
                      <w:sz w:val="18"/>
                    </w:rPr>
                    <w:t>MED</w:t>
                  </w:r>
                </w:p>
              </w:tc>
              <w:tc>
                <w:tcPr>
                  <w:tcW w:type="dxa" w:w="1606"/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 w:val="0"/>
                      <w:sz w:val="18"/>
                    </w:rPr>
                    <w:t>LOW</w:t>
                  </w:r>
                </w:p>
              </w:tc>
            </w:tr>
          </w:tbl>
          <w:p/>
        </w:tc>
        <w:tc>
          <w:tcPr>
            <w:tcW w:type="dxa" w:w="4819"/>
          </w:tcPr>
          <w:p>
            <w:pPr>
              <w:spacing w:before="80"/>
            </w:pPr>
            <w:r/>
            <w:r>
              <w:rPr>
                <w:rFonts w:ascii="Calibri" w:hAnsi="Calibri"/>
                <w:b/>
                <w:color w:val="1A3C6E"/>
                <w:sz w:val="22"/>
              </w:rPr>
              <w:t>GO-TO-MARKET TARGETS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09"/>
              <w:gridCol w:w="2409"/>
            </w:tblGrid>
            <w:tr>
              <w:tc>
                <w:tcPr>
                  <w:tcW w:type="dxa" w:w="2409"/>
                  <w:shd w:val="clear" w:color="auto" w:fill="1A3C6E"/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/>
                      <w:color w:val="FFFFFF"/>
                      <w:sz w:val="18"/>
                    </w:rPr>
                    <w:t>Segment</w:t>
                  </w:r>
                </w:p>
              </w:tc>
              <w:tc>
                <w:tcPr>
                  <w:tcW w:type="dxa" w:w="2409"/>
                  <w:shd w:val="clear" w:color="auto" w:fill="1A3C6E"/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/>
                      <w:color w:val="FFFFFF"/>
                      <w:sz w:val="18"/>
                    </w:rPr>
                    <w:t>Pain Point</w:t>
                  </w:r>
                </w:p>
              </w:tc>
            </w:tr>
            <w:tr>
              <w:tc>
                <w:tcPr>
                  <w:tcW w:type="dxa" w:w="2409"/>
                </w:tcPr>
                <w:p>
                  <w:r/>
                  <w:r>
                    <w:rPr>
                      <w:rFonts w:ascii="Calibri" w:hAnsi="Calibri"/>
                      <w:b/>
                      <w:sz w:val="18"/>
                    </w:rPr>
                    <w:t>Engineering Teams (10-100)</w:t>
                  </w:r>
                </w:p>
              </w:tc>
              <w:tc>
                <w:tcPr>
                  <w:tcW w:type="dxa" w:w="2409"/>
                </w:tcPr>
                <w:p>
                  <w:r/>
                  <w:r>
                    <w:rPr>
                      <w:rFonts w:ascii="Calibri" w:hAnsi="Calibri"/>
                      <w:b w:val="0"/>
                      <w:sz w:val="18"/>
                    </w:rPr>
                    <w:t>Copilot cost escalates, privacy concerns</w:t>
                  </w:r>
                </w:p>
              </w:tc>
            </w:tr>
            <w:tr>
              <w:tc>
                <w:tcPr>
                  <w:tcW w:type="dxa" w:w="2409"/>
                  <w:shd w:val="clear" w:color="auto" w:fill="F2F2F2"/>
                </w:tcPr>
                <w:p>
                  <w:r/>
                  <w:r>
                    <w:rPr>
                      <w:rFonts w:ascii="Calibri" w:hAnsi="Calibri"/>
                      <w:b/>
                      <w:sz w:val="18"/>
                    </w:rPr>
                    <w:t>Security-Sensitive (Fintech, Defense)</w:t>
                  </w:r>
                </w:p>
              </w:tc>
              <w:tc>
                <w:tcPr>
                  <w:tcW w:type="dxa" w:w="2409"/>
                  <w:shd w:val="clear" w:color="auto" w:fill="F2F2F2"/>
                </w:tcPr>
                <w:p>
                  <w:r/>
                  <w:r>
                    <w:rPr>
                      <w:rFonts w:ascii="Calibri" w:hAnsi="Calibri"/>
                      <w:b w:val="0"/>
                      <w:sz w:val="18"/>
                    </w:rPr>
                    <w:t>Cannot send code to cloud AI</w:t>
                  </w:r>
                </w:p>
              </w:tc>
            </w:tr>
            <w:tr>
              <w:tc>
                <w:tcPr>
                  <w:tcW w:type="dxa" w:w="2409"/>
                </w:tcPr>
                <w:p>
                  <w:r/>
                  <w:r>
                    <w:rPr>
                      <w:rFonts w:ascii="Calibri" w:hAnsi="Calibri"/>
                      <w:b/>
                      <w:sz w:val="18"/>
                    </w:rPr>
                    <w:t>Platform/Infra Teams</w:t>
                  </w:r>
                </w:p>
              </w:tc>
              <w:tc>
                <w:tcPr>
                  <w:tcW w:type="dxa" w:w="2409"/>
                </w:tcPr>
                <w:p>
                  <w:r/>
                  <w:r>
                    <w:rPr>
                      <w:rFonts w:ascii="Calibri" w:hAnsi="Calibri"/>
                      <w:b w:val="0"/>
                      <w:sz w:val="18"/>
                    </w:rPr>
                    <w:t>Multi-repo complexity, onboarding cost</w:t>
                  </w:r>
                </w:p>
              </w:tc>
            </w:tr>
          </w:tbl>
          <w:p/>
        </w:tc>
      </w:tr>
    </w:tbl>
    <w:p>
      <w:pPr>
        <w:spacing w:before="120"/>
      </w:pPr>
    </w:p>
    <w:p>
      <w:pPr>
        <w:spacing w:before="240" w:after="120"/>
      </w:pPr>
      <w:r>
        <w:rPr>
          <w:rFonts w:ascii="Calibri" w:hAnsi="Calibri"/>
          <w:b/>
          <w:color w:val="1A3C6E"/>
          <w:sz w:val="28"/>
        </w:rPr>
        <w:t>5-YEAR REVENUE PROJECTION</w:t>
      </w:r>
    </w:p>
    <w:p>
      <w:pPr>
        <w:spacing w:before="80" w:after="80"/>
        <w:jc w:val="center"/>
      </w:pPr>
      <w:r>
        <w:rPr>
          <w:rFonts w:ascii="Calibri" w:hAnsi="Calibri"/>
          <w:b/>
          <w:color w:val="1A3C6E"/>
          <w:sz w:val="40"/>
        </w:rPr>
        <w:t>Year 5 Revenue: $2,400,000</w:t>
      </w:r>
    </w:p>
    <w:p>
      <w:pPr>
        <w:spacing w:after="80"/>
        <w:jc w:val="center"/>
      </w:pPr>
      <w:r>
        <w:rPr>
          <w:rFonts w:ascii="Calibri" w:hAnsi="Calibri"/>
          <w:color w:val="555555"/>
          <w:sz w:val="20"/>
        </w:rPr>
        <w:t>2,000 users  |  250 users by Year 3  |  OSS launch Year 1 → Enterprise scale Year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Year 1</w:t>
            </w:r>
          </w:p>
        </w:tc>
        <w:tc>
          <w:tcPr>
            <w:tcW w:type="dxa" w:w="2040"/>
            <w:shd w:val="clear" w:color="auto"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2040"/>
            <w:shd w:val="clear" w:color="auto"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Year 3</w:t>
            </w:r>
          </w:p>
        </w:tc>
        <w:tc>
          <w:tcPr>
            <w:tcW w:type="dxa" w:w="2040"/>
            <w:shd w:val="clear" w:color="auto"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Year 4</w:t>
            </w:r>
          </w:p>
        </w:tc>
        <w:tc>
          <w:tcPr>
            <w:tcW w:type="dxa" w:w="2040"/>
            <w:shd w:val="clear" w:color="auto"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Year 5</w:t>
            </w:r>
          </w:p>
        </w:tc>
      </w:tr>
      <w:tr>
        <w:tc>
          <w:tcPr>
            <w:tcW w:type="dxa" w:w="2040"/>
            <w:shd w:val="clear" w:color="auto" w:fill="F2F2F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$0</w:t>
            </w:r>
          </w:p>
        </w:tc>
        <w:tc>
          <w:tcPr>
            <w:tcW w:type="dxa" w:w="2040"/>
            <w:shd w:val="clear" w:color="auto" w:fill="F2F2F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$45,000</w:t>
            </w:r>
          </w:p>
        </w:tc>
        <w:tc>
          <w:tcPr>
            <w:tcW w:type="dxa" w:w="2040"/>
            <w:shd w:val="clear" w:color="auto" w:fill="F2F2F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$320,000</w:t>
            </w:r>
          </w:p>
        </w:tc>
        <w:tc>
          <w:tcPr>
            <w:tcW w:type="dxa" w:w="2040"/>
            <w:shd w:val="clear" w:color="auto" w:fill="F2F2F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$950,000</w:t>
            </w:r>
          </w:p>
        </w:tc>
        <w:tc>
          <w:tcPr>
            <w:tcW w:type="dxa" w:w="2040"/>
            <w:shd w:val="clear" w:color="auto" w:fill="F2F2F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$2,400,000</w:t>
            </w:r>
          </w:p>
        </w:tc>
      </w:tr>
    </w:tbl>
    <w:p>
      <w:pPr>
        <w:spacing w:before="200"/>
      </w:pPr>
      <w:r>
        <w:rPr>
          <w:rFonts w:ascii="Calibri" w:hAnsi="Calibri"/>
          <w:i/>
          <w:color w:val="999999"/>
          <w:sz w:val="16"/>
        </w:rPr>
        <w:t>Source: Business Research Company, Mordor Intelligence, SNS Insider — NeuralMind Market Intelligence Module (intel.py)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