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88"/>
        </w:rPr>
        <w:t>NeuralMind</w:t>
      </w:r>
    </w:p>
    <w:p>
      <w:pPr>
        <w:jc w:val="center"/>
      </w:pPr>
      <w:r>
        <w:rPr>
          <w:color w:val="333333"/>
          <w:sz w:val="48"/>
        </w:rPr>
        <w:t>Strategic Market &amp; Engineering Report</w:t>
      </w:r>
    </w:p>
    <w:p/>
    <w:p>
      <w:pPr>
        <w:jc w:val="center"/>
      </w:pPr>
      <w:r>
        <w:rPr>
          <w:i/>
          <w:color w:val="555555"/>
          <w:sz w:val="28"/>
        </w:rPr>
        <w:t>Local-First Graph Intelligence for the AI-Native Enterprise</w:t>
      </w:r>
    </w:p>
    <w:p/>
    <w:p>
      <w:pPr>
        <w:jc w:val="center"/>
      </w:pPr>
      <w:r>
        <w:rPr>
          <w:color w:val="777777"/>
          <w:sz w:val="24"/>
        </w:rPr>
        <w:t>Prepared: July 2026</w:t>
      </w:r>
    </w:p>
    <w:p>
      <w:pPr>
        <w:jc w:val="center"/>
      </w:pPr>
      <w:r>
        <w:rPr>
          <w:color w:val="999999"/>
          <w:sz w:val="20"/>
        </w:rPr>
        <w:t>Sources: Business Research Company · Mordor Intelligence · SNS Insider</w:t>
      </w:r>
    </w:p>
    <w:p>
      <w:r>
        <w:br w:type="page"/>
      </w:r>
    </w:p>
    <w:p>
      <w:pPr>
        <w:pStyle w:val="Heading1"/>
      </w:pPr>
      <w:r>
        <w:rPr>
          <w:color w:val="1A3C6E"/>
        </w:rPr>
        <w:t>Table of Contents</w:t>
      </w:r>
    </w:p>
    <w:p>
      <w:pPr>
        <w:spacing w:after="80"/>
      </w:pPr>
      <w:r>
        <w:rPr>
          <w:rFonts w:ascii="Calibri" w:hAnsi="Calibri"/>
          <w:sz w:val="24"/>
        </w:rPr>
        <w:t>1. Executive Summary</w:t>
      </w:r>
    </w:p>
    <w:p>
      <w:pPr>
        <w:spacing w:after="80"/>
      </w:pPr>
      <w:r>
        <w:rPr>
          <w:rFonts w:ascii="Calibri" w:hAnsi="Calibri"/>
          <w:sz w:val="24"/>
        </w:rPr>
        <w:t>2. Market Analysis</w:t>
      </w:r>
    </w:p>
    <w:p>
      <w:pPr>
        <w:spacing w:after="80"/>
      </w:pPr>
      <w:r>
        <w:rPr>
          <w:rFonts w:ascii="Calibri" w:hAnsi="Calibri"/>
          <w:sz w:val="24"/>
        </w:rPr>
        <w:t>3. Competitive Landscape</w:t>
      </w:r>
    </w:p>
    <w:p>
      <w:pPr>
        <w:spacing w:after="80"/>
      </w:pPr>
      <w:r>
        <w:rPr>
          <w:rFonts w:ascii="Calibri" w:hAnsi="Calibri"/>
          <w:sz w:val="24"/>
        </w:rPr>
        <w:t>4. Future-Proofing Strategy</w:t>
      </w:r>
    </w:p>
    <w:p>
      <w:pPr>
        <w:spacing w:after="80"/>
      </w:pPr>
      <w:r>
        <w:rPr>
          <w:rFonts w:ascii="Calibri" w:hAnsi="Calibri"/>
          <w:sz w:val="24"/>
        </w:rPr>
        <w:t>5. SWOT Analysis</w:t>
      </w:r>
    </w:p>
    <w:p>
      <w:pPr>
        <w:spacing w:after="80"/>
      </w:pPr>
      <w:r>
        <w:rPr>
          <w:rFonts w:ascii="Calibri" w:hAnsi="Calibri"/>
          <w:sz w:val="24"/>
        </w:rPr>
        <w:t>6. Code Quality Findings</w:t>
      </w:r>
    </w:p>
    <w:p>
      <w:pPr>
        <w:spacing w:after="80"/>
      </w:pPr>
      <w:r>
        <w:rPr>
          <w:rFonts w:ascii="Calibri" w:hAnsi="Calibri"/>
          <w:sz w:val="24"/>
        </w:rPr>
        <w:t>7. Refactoring Roadmap</w:t>
      </w:r>
    </w:p>
    <w:p>
      <w:pPr>
        <w:spacing w:after="80"/>
      </w:pPr>
      <w:r>
        <w:rPr>
          <w:rFonts w:ascii="Calibri" w:hAnsi="Calibri"/>
          <w:sz w:val="24"/>
        </w:rPr>
        <w:t>8. Go-to-Market Strategy</w:t>
      </w:r>
    </w:p>
    <w:p>
      <w:pPr>
        <w:spacing w:after="80"/>
      </w:pPr>
      <w:r>
        <w:rPr>
          <w:rFonts w:ascii="Calibri" w:hAnsi="Calibri"/>
          <w:sz w:val="24"/>
        </w:rPr>
        <w:t>9. Financial Projections</w:t>
      </w:r>
    </w:p>
    <w:p>
      <w:pPr>
        <w:spacing w:after="80"/>
      </w:pPr>
      <w:r>
        <w:rPr>
          <w:rFonts w:ascii="Calibri" w:hAnsi="Calibri"/>
          <w:sz w:val="24"/>
        </w:rPr>
        <w:t>10. Conclusion</w:t>
      </w:r>
    </w:p>
    <w:p>
      <w:r>
        <w:br w:type="page"/>
      </w:r>
    </w:p>
    <w:p>
      <w:pPr>
        <w:pStyle w:val="Heading1"/>
      </w:pPr>
      <w:r>
        <w:rPr>
          <w:color w:val="1A3C6E"/>
        </w:rPr>
        <w:t>1. Executive Summary</w:t>
      </w:r>
    </w:p>
    <w:p>
      <w:pPr>
        <w:spacing w:after="120"/>
      </w:pPr>
      <w:r>
        <w:rPr>
          <w:rFonts w:ascii="Calibri" w:hAnsi="Calibri"/>
          <w:b w:val="0"/>
          <w:i w:val="0"/>
          <w:sz w:val="22"/>
        </w:rPr>
        <w:t>NeuralMind is a local-first, graph-based code intelligence platform purpose-built for engineering teams that cannot — or will not — send proprietary source code to cloud AI services. In a market projected to grow from $7.65 B in 2025 to $22.2 B by 2030 (CAGR 23.8%), NeuralMind occupies a defensible niche: privacy-preserving, on-premise AI that indexes code into a semantic graph and delivers IDE-agnostic intelligence via the Model Context Protocol (MCP).</w:t>
      </w:r>
    </w:p>
    <w:p>
      <w:pPr>
        <w:spacing w:after="120"/>
      </w:pPr>
      <w:r>
        <w:rPr>
          <w:rFonts w:ascii="Calibri" w:hAnsi="Calibri"/>
          <w:b w:val="0"/>
          <w:i w:val="0"/>
          <w:sz w:val="22"/>
        </w:rPr>
        <w:t>This report synthesizes market intelligence, competitive analysis, internal code-quality findings, and a five-year financial model to chart the path from open-source community project to category-leading enterprise product.</w:t>
      </w:r>
    </w:p>
    <w:p>
      <w:pPr>
        <w:pStyle w:val="Heading2"/>
      </w:pPr>
      <w:r>
        <w:rPr>
          <w:color w:val="1A3C6E"/>
        </w:rPr>
        <w:t>Key Takeaways</w:t>
      </w: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2. Market Analysis</w:t>
      </w:r>
    </w:p>
    <w:p>
      <w:pPr>
        <w:pStyle w:val="Heading2"/>
      </w:pPr>
      <w:r>
        <w:rPr>
          <w:color w:val="1A3C6E"/>
        </w:rPr>
        <w:t>2.1 Total Addressable Market</w:t>
      </w:r>
    </w:p>
    <w:p>
      <w:pPr>
        <w:spacing w:after="120"/>
      </w:pPr>
      <w:r>
        <w:rPr>
          <w:rFonts w:ascii="Calibri" w:hAnsi="Calibri"/>
          <w:b w:val="0"/>
          <w:i w:val="0"/>
          <w:sz w:val="22"/>
        </w:rPr>
        <w:t>The global AI code tools market was valued at $7.65 B in 2025 and is projected to reach $22.2 B by 2030, representing a compound annual growth rate of 23.8%. This growth is underpinned by near-universal developer adoption and the rapid integration of AI into every phase of the software development lifecycle.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center"/>
            </w:pPr>
            <w:r>
              <w:rPr>
                <w:b/>
                <w:color w:val="FFFFFF"/>
                <w:sz w:val="20"/>
              </w:rPr>
              <w:t>Metric</w:t>
            </w:r>
          </w:p>
        </w:tc>
        <w:tc>
          <w:tcPr>
            <w:tcW w:type="dxa" w:w="2880"/>
            <w:shd w:val="clear" w:color="auto" w:fill="1A3C6E"/>
          </w:tcPr>
          <w:p>
            <w:pPr>
              <w:jc w:val="center"/>
            </w:pPr>
            <w:r>
              <w:rPr>
                <w:b/>
                <w:color w:val="FFFFFF"/>
                <w:sz w:val="20"/>
              </w:rPr>
              <w:t>Value</w:t>
            </w:r>
          </w:p>
        </w:tc>
        <w:tc>
          <w:tcPr>
            <w:tcW w:type="dxa" w:w="2880"/>
            <w:shd w:val="clear" w:color="auto" w:fill="1A3C6E"/>
          </w:tcPr>
          <w:p>
            <w:pPr>
              <w:jc w:val="center"/>
            </w:pPr>
            <w:r>
              <w:rPr>
                <w:b/>
                <w:color w:val="FFFFFF"/>
                <w:sz w:val="20"/>
              </w:rPr>
              <w:t>Source</w:t>
            </w:r>
          </w:p>
        </w:tc>
      </w:tr>
      <w:tr>
        <w:tc>
          <w:tcPr>
            <w:tcW w:type="dxa" w:w="2880"/>
          </w:tcPr>
          <w:p>
            <w:r>
              <w:rPr>
                <w:sz w:val="20"/>
              </w:rPr>
              <w:t>Market Size 2025</w:t>
            </w:r>
          </w:p>
        </w:tc>
        <w:tc>
          <w:tcPr>
            <w:tcW w:type="dxa" w:w="2880"/>
          </w:tcPr>
          <w:p>
            <w:r>
              <w:rPr>
                <w:sz w:val="20"/>
              </w:rPr>
              <w:t>$7.65 B</w:t>
            </w:r>
          </w:p>
        </w:tc>
        <w:tc>
          <w:tcPr>
            <w:tcW w:type="dxa" w:w="2880"/>
          </w:tcPr>
          <w:p>
            <w:r>
              <w:rPr>
                <w:sz w:val="20"/>
              </w:rPr>
              <w:t>Business Research Company</w:t>
            </w:r>
          </w:p>
        </w:tc>
      </w:tr>
      <w:tr>
        <w:tc>
          <w:tcPr>
            <w:tcW w:type="dxa" w:w="2880"/>
            <w:shd w:val="clear" w:color="auto" w:fill="F2F2F2"/>
          </w:tcPr>
          <w:p>
            <w:r>
              <w:rPr>
                <w:sz w:val="20"/>
              </w:rPr>
              <w:t>Market Size 2030</w:t>
            </w:r>
          </w:p>
        </w:tc>
        <w:tc>
          <w:tcPr>
            <w:tcW w:type="dxa" w:w="2880"/>
            <w:shd w:val="clear" w:color="auto" w:fill="F2F2F2"/>
          </w:tcPr>
          <w:p>
            <w:r>
              <w:rPr>
                <w:sz w:val="20"/>
              </w:rPr>
              <w:t>$22.2 B</w:t>
            </w:r>
          </w:p>
        </w:tc>
        <w:tc>
          <w:tcPr>
            <w:tcW w:type="dxa" w:w="2880"/>
            <w:shd w:val="clear" w:color="auto" w:fill="F2F2F2"/>
          </w:tcPr>
          <w:p>
            <w:r>
              <w:rPr>
                <w:sz w:val="20"/>
              </w:rPr>
              <w:t>Mordor Intelligence</w:t>
            </w:r>
          </w:p>
        </w:tc>
      </w:tr>
      <w:tr>
        <w:tc>
          <w:tcPr>
            <w:tcW w:type="dxa" w:w="2880"/>
          </w:tcPr>
          <w:p>
            <w:r>
              <w:rPr>
                <w:sz w:val="20"/>
              </w:rPr>
              <w:t>CAGR</w:t>
            </w:r>
          </w:p>
        </w:tc>
        <w:tc>
          <w:tcPr>
            <w:tcW w:type="dxa" w:w="2880"/>
          </w:tcPr>
          <w:p>
            <w:r>
              <w:rPr>
                <w:sz w:val="20"/>
              </w:rPr>
              <w:t>23.8%</w:t>
            </w:r>
          </w:p>
        </w:tc>
        <w:tc>
          <w:tcPr>
            <w:tcW w:type="dxa" w:w="2880"/>
          </w:tcPr>
          <w:p>
            <w:r>
              <w:rPr>
                <w:sz w:val="20"/>
              </w:rPr>
              <w:t>SNS Insider</w:t>
            </w:r>
          </w:p>
        </w:tc>
      </w:tr>
      <w:tr>
        <w:tc>
          <w:tcPr>
            <w:tcW w:type="dxa" w:w="2880"/>
            <w:shd w:val="clear" w:color="auto" w:fill="F2F2F2"/>
          </w:tcPr>
          <w:p>
            <w:r>
              <w:rPr>
                <w:sz w:val="20"/>
              </w:rPr>
              <w:t>Cloud Share 2025</w:t>
            </w:r>
          </w:p>
        </w:tc>
        <w:tc>
          <w:tcPr>
            <w:tcW w:type="dxa" w:w="2880"/>
            <w:shd w:val="clear" w:color="auto" w:fill="F2F2F2"/>
          </w:tcPr>
          <w:p>
            <w:r>
              <w:rPr>
                <w:sz w:val="20"/>
              </w:rPr>
              <w:t>72.5%</w:t>
            </w:r>
          </w:p>
        </w:tc>
        <w:tc>
          <w:tcPr>
            <w:tcW w:type="dxa" w:w="2880"/>
            <w:shd w:val="clear" w:color="auto" w:fill="F2F2F2"/>
          </w:tcPr>
          <w:p>
            <w:r>
              <w:rPr>
                <w:sz w:val="20"/>
              </w:rPr>
              <w:t>Mordor Intelligence</w:t>
            </w:r>
          </w:p>
        </w:tc>
      </w:tr>
      <w:tr>
        <w:tc>
          <w:tcPr>
            <w:tcW w:type="dxa" w:w="2880"/>
          </w:tcPr>
          <w:p>
            <w:r>
              <w:rPr>
                <w:sz w:val="20"/>
              </w:rPr>
              <w:t>On-Prem CAGR</w:t>
            </w:r>
          </w:p>
        </w:tc>
        <w:tc>
          <w:tcPr>
            <w:tcW w:type="dxa" w:w="2880"/>
          </w:tcPr>
          <w:p>
            <w:r>
              <w:rPr>
                <w:sz w:val="20"/>
              </w:rPr>
              <w:t>26.6%</w:t>
            </w:r>
          </w:p>
        </w:tc>
        <w:tc>
          <w:tcPr>
            <w:tcW w:type="dxa" w:w="2880"/>
          </w:tcPr>
          <w:p>
            <w:r>
              <w:rPr>
                <w:sz w:val="20"/>
              </w:rPr>
              <w:t>SNS Insider</w:t>
            </w:r>
          </w:p>
        </w:tc>
      </w:tr>
      <w:tr>
        <w:tc>
          <w:tcPr>
            <w:tcW w:type="dxa" w:w="2880"/>
            <w:shd w:val="clear" w:color="auto" w:fill="F2F2F2"/>
          </w:tcPr>
          <w:p>
            <w:r>
              <w:rPr>
                <w:sz w:val="20"/>
              </w:rPr>
              <w:t>Enterprise AI 2024</w:t>
            </w:r>
          </w:p>
        </w:tc>
        <w:tc>
          <w:tcPr>
            <w:tcW w:type="dxa" w:w="2880"/>
            <w:shd w:val="clear" w:color="auto" w:fill="F2F2F2"/>
          </w:tcPr>
          <w:p>
            <w:r>
              <w:rPr>
                <w:sz w:val="20"/>
              </w:rPr>
              <w:t>$24.0 B</w:t>
            </w:r>
          </w:p>
        </w:tc>
        <w:tc>
          <w:tcPr>
            <w:tcW w:type="dxa" w:w="2880"/>
            <w:shd w:val="clear" w:color="auto" w:fill="F2F2F2"/>
          </w:tcPr>
          <w:p>
            <w:r>
              <w:rPr>
                <w:sz w:val="20"/>
              </w:rPr>
              <w:t>Gartner</w:t>
            </w:r>
          </w:p>
        </w:tc>
      </w:tr>
      <w:tr>
        <w:tc>
          <w:tcPr>
            <w:tcW w:type="dxa" w:w="2880"/>
          </w:tcPr>
          <w:p>
            <w:r>
              <w:rPr>
                <w:sz w:val="20"/>
              </w:rPr>
              <w:t>Developer Adoption 2025</w:t>
            </w:r>
          </w:p>
        </w:tc>
        <w:tc>
          <w:tcPr>
            <w:tcW w:type="dxa" w:w="2880"/>
          </w:tcPr>
          <w:p>
            <w:r>
              <w:rPr>
                <w:sz w:val="20"/>
              </w:rPr>
              <w:t>91%</w:t>
            </w:r>
          </w:p>
        </w:tc>
        <w:tc>
          <w:tcPr>
            <w:tcW w:type="dxa" w:w="2880"/>
          </w:tcPr>
          <w:p>
            <w:r>
              <w:rPr>
                <w:sz w:val="20"/>
              </w:rPr>
              <w:t>Industry surveys</w:t>
            </w:r>
          </w:p>
        </w:tc>
      </w:tr>
      <w:tr>
        <w:tc>
          <w:tcPr>
            <w:tcW w:type="dxa" w:w="2880"/>
            <w:shd w:val="clear" w:color="auto" w:fill="F2F2F2"/>
          </w:tcPr>
          <w:p>
            <w:r>
              <w:rPr>
                <w:sz w:val="20"/>
              </w:rPr>
              <w:t>AI-Generated Code</w:t>
            </w:r>
          </w:p>
        </w:tc>
        <w:tc>
          <w:tcPr>
            <w:tcW w:type="dxa" w:w="2880"/>
            <w:shd w:val="clear" w:color="auto" w:fill="F2F2F2"/>
          </w:tcPr>
          <w:p>
            <w:r>
              <w:rPr>
                <w:sz w:val="20"/>
              </w:rPr>
              <w:t>41%</w:t>
            </w:r>
          </w:p>
        </w:tc>
        <w:tc>
          <w:tcPr>
            <w:tcW w:type="dxa" w:w="2880"/>
            <w:shd w:val="clear" w:color="auto" w:fill="F2F2F2"/>
          </w:tcPr>
          <w:p>
            <w:r>
              <w:rPr>
                <w:sz w:val="20"/>
              </w:rPr>
              <w:t>GitHub / McKinsey</w:t>
            </w:r>
          </w:p>
        </w:tc>
      </w:tr>
      <w:tr>
        <w:tc>
          <w:tcPr>
            <w:tcW w:type="dxa" w:w="2880"/>
          </w:tcPr>
          <w:p>
            <w:r>
              <w:rPr>
                <w:sz w:val="20"/>
              </w:rPr>
              <w:t>Gartner 2028 Adoption</w:t>
            </w:r>
          </w:p>
        </w:tc>
        <w:tc>
          <w:tcPr>
            <w:tcW w:type="dxa" w:w="2880"/>
          </w:tcPr>
          <w:p>
            <w:r>
              <w:rPr>
                <w:sz w:val="20"/>
              </w:rPr>
              <w:t>75%</w:t>
            </w:r>
          </w:p>
        </w:tc>
        <w:tc>
          <w:tcPr>
            <w:tcW w:type="dxa" w:w="2880"/>
          </w:tcPr>
          <w:p>
            <w:r>
              <w:rPr>
                <w:sz w:val="20"/>
              </w:rPr>
              <w:t>Gartner</w:t>
            </w:r>
          </w:p>
        </w:tc>
      </w:tr>
      <w:tr>
        <w:tc>
          <w:tcPr>
            <w:tcW w:type="dxa" w:w="2880"/>
            <w:shd w:val="clear" w:color="auto" w:fill="F2F2F2"/>
          </w:tcPr>
          <w:p>
            <w:r>
              <w:rPr>
                <w:sz w:val="20"/>
              </w:rPr>
              <w:t>AI Project Cancellation 2027</w:t>
            </w:r>
          </w:p>
        </w:tc>
        <w:tc>
          <w:tcPr>
            <w:tcW w:type="dxa" w:w="2880"/>
            <w:shd w:val="clear" w:color="auto" w:fill="F2F2F2"/>
          </w:tcPr>
          <w:p>
            <w:r>
              <w:rPr>
                <w:sz w:val="20"/>
              </w:rPr>
              <w:t>40%</w:t>
            </w:r>
          </w:p>
        </w:tc>
        <w:tc>
          <w:tcPr>
            <w:tcW w:type="dxa" w:w="2880"/>
            <w:shd w:val="clear" w:color="auto" w:fill="F2F2F2"/>
          </w:tcPr>
          <w:p>
            <w:r>
              <w:rPr>
                <w:sz w:val="20"/>
              </w:rPr>
              <w:t>Industry analysis</w:t>
            </w:r>
          </w:p>
        </w:tc>
      </w:tr>
    </w:tbl>
    <w:p>
      <w:pPr>
        <w:pStyle w:val="Heading2"/>
      </w:pPr>
      <w:r>
        <w:rPr>
          <w:color w:val="1A3C6E"/>
        </w:rPr>
        <w:t>2.2 Key Market Drivers</w:t>
      </w: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Heading2"/>
      </w:pPr>
      <w:r>
        <w:rPr>
          <w:color w:val="1A3C6E"/>
        </w:rPr>
        <w:t>2.3 Market Constraints</w:t>
      </w: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3. Competitive Landscape</w:t>
      </w:r>
    </w:p>
    <w:p>
      <w:pPr>
        <w:spacing w:after="120"/>
      </w:pPr>
      <w:r>
        <w:rPr>
          <w:rFonts w:ascii="Calibri" w:hAnsi="Calibri"/>
          <w:b w:val="0"/>
          <w:i w:val="0"/>
          <w:sz w:val="22"/>
        </w:rPr>
        <w:t>The AI code tools market spans cloud IDE assistants, enterprise code intelligence platforms, and open-source alternatives. NeuralMind competes most directly with the on-prem / privacy-focused segment while offering a differentiated graph-intelligence core.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A3C6E"/>
          </w:tcPr>
          <w:p>
            <w:pPr>
              <w:jc w:val="center"/>
            </w:pPr>
            <w:r>
              <w:rPr>
                <w:b/>
                <w:color w:val="FFFFFF"/>
                <w:sz w:val="20"/>
              </w:rPr>
              <w:t>Competitor</w:t>
            </w:r>
          </w:p>
        </w:tc>
        <w:tc>
          <w:tcPr>
            <w:tcW w:type="dxa" w:w="1728"/>
            <w:shd w:val="clear" w:color="auto" w:fill="1A3C6E"/>
          </w:tcPr>
          <w:p>
            <w:pPr>
              <w:jc w:val="center"/>
            </w:pPr>
            <w:r>
              <w:rPr>
                <w:b/>
                <w:color w:val="FFFFFF"/>
                <w:sz w:val="20"/>
              </w:rPr>
              <w:t>Type</w:t>
            </w:r>
          </w:p>
        </w:tc>
        <w:tc>
          <w:tcPr>
            <w:tcW w:type="dxa" w:w="1728"/>
            <w:shd w:val="clear" w:color="auto" w:fill="1A3C6E"/>
          </w:tcPr>
          <w:p>
            <w:pPr>
              <w:jc w:val="center"/>
            </w:pPr>
            <w:r>
              <w:rPr>
                <w:b/>
                <w:color w:val="FFFFFF"/>
                <w:sz w:val="20"/>
              </w:rPr>
              <w:t>Strength</w:t>
            </w:r>
          </w:p>
        </w:tc>
        <w:tc>
          <w:tcPr>
            <w:tcW w:type="dxa" w:w="1728"/>
            <w:shd w:val="clear" w:color="auto" w:fill="1A3C6E"/>
          </w:tcPr>
          <w:p>
            <w:pPr>
              <w:jc w:val="center"/>
            </w:pPr>
            <w:r>
              <w:rPr>
                <w:b/>
                <w:color w:val="FFFFFF"/>
                <w:sz w:val="20"/>
              </w:rPr>
              <w:t>Weakness</w:t>
            </w:r>
          </w:p>
        </w:tc>
        <w:tc>
          <w:tcPr>
            <w:tcW w:type="dxa" w:w="1728"/>
            <w:shd w:val="clear" w:color="auto" w:fill="1A3C6E"/>
          </w:tcPr>
          <w:p>
            <w:pPr>
              <w:jc w:val="center"/>
            </w:pPr>
            <w:r>
              <w:rPr>
                <w:b/>
                <w:color w:val="FFFFFF"/>
                <w:sz w:val="20"/>
              </w:rPr>
              <w:t>Pricing</w:t>
            </w:r>
          </w:p>
        </w:tc>
      </w:tr>
      <w:tr>
        <w:tc>
          <w:tcPr>
            <w:tcW w:type="dxa" w:w="1728"/>
          </w:tcPr>
          <w:p>
            <w:r>
              <w:rPr>
                <w:sz w:val="20"/>
              </w:rPr>
              <w:t>GitHub Copilot</w:t>
            </w:r>
          </w:p>
        </w:tc>
        <w:tc>
          <w:tcPr>
            <w:tcW w:type="dxa" w:w="1728"/>
          </w:tcPr>
          <w:p>
            <w:r>
              <w:rPr>
                <w:sz w:val="20"/>
              </w:rPr>
              <w:t>Cloud IDE</w:t>
            </w:r>
          </w:p>
        </w:tc>
        <w:tc>
          <w:tcPr>
            <w:tcW w:type="dxa" w:w="1728"/>
          </w:tcPr>
          <w:p>
            <w:r>
              <w:rPr>
                <w:sz w:val="20"/>
              </w:rPr>
              <w:t>Largest user base</w:t>
            </w:r>
          </w:p>
        </w:tc>
        <w:tc>
          <w:tcPr>
            <w:tcW w:type="dxa" w:w="1728"/>
          </w:tcPr>
          <w:p>
            <w:r>
              <w:rPr>
                <w:sz w:val="20"/>
              </w:rPr>
              <w:t>Vendor lock-in, MS dependency</w:t>
            </w:r>
          </w:p>
        </w:tc>
        <w:tc>
          <w:tcPr>
            <w:tcW w:type="dxa" w:w="1728"/>
          </w:tcPr>
          <w:p>
            <w:r>
              <w:rPr>
                <w:sz w:val="20"/>
              </w:rPr>
              <w:t>$19-39/user/mo</w:t>
            </w:r>
          </w:p>
        </w:tc>
      </w:tr>
      <w:tr>
        <w:tc>
          <w:tcPr>
            <w:tcW w:type="dxa" w:w="1728"/>
            <w:shd w:val="clear" w:color="auto" w:fill="F2F2F2"/>
          </w:tcPr>
          <w:p>
            <w:r>
              <w:rPr>
                <w:sz w:val="20"/>
              </w:rPr>
              <w:t>Sourcegraph Cody</w:t>
            </w:r>
          </w:p>
        </w:tc>
        <w:tc>
          <w:tcPr>
            <w:tcW w:type="dxa" w:w="1728"/>
            <w:shd w:val="clear" w:color="auto" w:fill="F2F2F2"/>
          </w:tcPr>
          <w:p>
            <w:r>
              <w:rPr>
                <w:sz w:val="20"/>
              </w:rPr>
              <w:t>Enterprise Code Intelligence</w:t>
            </w:r>
          </w:p>
        </w:tc>
        <w:tc>
          <w:tcPr>
            <w:tcW w:type="dxa" w:w="1728"/>
            <w:shd w:val="clear" w:color="auto" w:fill="F2F2F2"/>
          </w:tcPr>
          <w:p>
            <w:r>
              <w:rPr>
                <w:sz w:val="20"/>
              </w:rPr>
              <w:t>Multi-repo, deeply integrated</w:t>
            </w:r>
          </w:p>
        </w:tc>
        <w:tc>
          <w:tcPr>
            <w:tcW w:type="dxa" w:w="1728"/>
            <w:shd w:val="clear" w:color="auto" w:fill="F2F2F2"/>
          </w:tcPr>
          <w:p>
            <w:r>
              <w:rPr>
                <w:sz w:val="20"/>
              </w:rPr>
              <w:t>High cost, sales engagement</w:t>
            </w:r>
          </w:p>
        </w:tc>
        <w:tc>
          <w:tcPr>
            <w:tcW w:type="dxa" w:w="1728"/>
            <w:shd w:val="clear" w:color="auto" w:fill="F2F2F2"/>
          </w:tcPr>
          <w:p>
            <w:r>
              <w:rPr>
                <w:sz w:val="20"/>
              </w:rPr>
              <w:t>~$75K/year platform</w:t>
            </w:r>
          </w:p>
        </w:tc>
      </w:tr>
      <w:tr>
        <w:tc>
          <w:tcPr>
            <w:tcW w:type="dxa" w:w="1728"/>
          </w:tcPr>
          <w:p>
            <w:r>
              <w:rPr>
                <w:sz w:val="20"/>
              </w:rPr>
              <w:t>Tabnine Enterprise</w:t>
            </w:r>
          </w:p>
        </w:tc>
        <w:tc>
          <w:tcPr>
            <w:tcW w:type="dxa" w:w="1728"/>
          </w:tcPr>
          <w:p>
            <w:r>
              <w:rPr>
                <w:sz w:val="20"/>
              </w:rPr>
              <w:t>On-prem coding AI</w:t>
            </w:r>
          </w:p>
        </w:tc>
        <w:tc>
          <w:tcPr>
            <w:tcW w:type="dxa" w:w="1728"/>
          </w:tcPr>
          <w:p>
            <w:r>
              <w:rPr>
                <w:sz w:val="20"/>
              </w:rPr>
              <w:t>Privacy/air-gapped</w:t>
            </w:r>
          </w:p>
        </w:tc>
        <w:tc>
          <w:tcPr>
            <w:tcW w:type="dxa" w:w="1728"/>
          </w:tcPr>
          <w:p>
            <w:r>
              <w:rPr>
                <w:sz w:val="20"/>
              </w:rPr>
              <w:t>Smaller ecosystem</w:t>
            </w:r>
          </w:p>
        </w:tc>
        <w:tc>
          <w:tcPr>
            <w:tcW w:type="dxa" w:w="1728"/>
          </w:tcPr>
          <w:p>
            <w:r>
              <w:rPr>
                <w:sz w:val="20"/>
              </w:rPr>
              <w:t>Custom</w:t>
            </w:r>
          </w:p>
        </w:tc>
      </w:tr>
      <w:tr>
        <w:tc>
          <w:tcPr>
            <w:tcW w:type="dxa" w:w="1728"/>
            <w:shd w:val="clear" w:color="auto" w:fill="F2F2F2"/>
          </w:tcPr>
          <w:p>
            <w:r>
              <w:rPr>
                <w:sz w:val="20"/>
              </w:rPr>
              <w:t>AirgapAI</w:t>
            </w:r>
          </w:p>
        </w:tc>
        <w:tc>
          <w:tcPr>
            <w:tcW w:type="dxa" w:w="1728"/>
            <w:shd w:val="clear" w:color="auto" w:fill="F2F2F2"/>
          </w:tcPr>
          <w:p>
            <w:r>
              <w:rPr>
                <w:sz w:val="20"/>
              </w:rPr>
              <w:t>Local-first enterprise</w:t>
            </w:r>
          </w:p>
        </w:tc>
        <w:tc>
          <w:tcPr>
            <w:tcW w:type="dxa" w:w="1728"/>
            <w:shd w:val="clear" w:color="auto" w:fill="F2F2F2"/>
          </w:tcPr>
          <w:p>
            <w:r>
              <w:rPr>
                <w:sz w:val="20"/>
              </w:rPr>
              <w:t>Compliance, SCIF certified</w:t>
            </w:r>
          </w:p>
        </w:tc>
        <w:tc>
          <w:tcPr>
            <w:tcW w:type="dxa" w:w="1728"/>
            <w:shd w:val="clear" w:color="auto" w:fill="F2F2F2"/>
          </w:tcPr>
          <w:p>
            <w:r>
              <w:rPr>
                <w:sz w:val="20"/>
              </w:rPr>
              <w:t>Newer, smaller market share</w:t>
            </w:r>
          </w:p>
        </w:tc>
        <w:tc>
          <w:tcPr>
            <w:tcW w:type="dxa" w:w="1728"/>
            <w:shd w:val="clear" w:color="auto" w:fill="F2F2F2"/>
          </w:tcPr>
          <w:p>
            <w:r>
              <w:rPr>
                <w:sz w:val="20"/>
              </w:rPr>
              <w:t>Custom</w:t>
            </w:r>
          </w:p>
        </w:tc>
      </w:tr>
      <w:tr>
        <w:tc>
          <w:tcPr>
            <w:tcW w:type="dxa" w:w="1728"/>
          </w:tcPr>
          <w:p>
            <w:r>
              <w:rPr>
                <w:sz w:val="20"/>
              </w:rPr>
              <w:t>Continue.dev</w:t>
            </w:r>
          </w:p>
        </w:tc>
        <w:tc>
          <w:tcPr>
            <w:tcW w:type="dxa" w:w="1728"/>
          </w:tcPr>
          <w:p>
            <w:r>
              <w:rPr>
                <w:sz w:val="20"/>
              </w:rPr>
              <w:t>OSS + Enterprise</w:t>
            </w:r>
          </w:p>
        </w:tc>
        <w:tc>
          <w:tcPr>
            <w:tcW w:type="dxa" w:w="1728"/>
          </w:tcPr>
          <w:p>
            <w:r>
              <w:rPr>
                <w:sz w:val="20"/>
              </w:rPr>
              <w:t>Open source, bring own LLM</w:t>
            </w:r>
          </w:p>
        </w:tc>
        <w:tc>
          <w:tcPr>
            <w:tcW w:type="dxa" w:w="1728"/>
          </w:tcPr>
          <w:p>
            <w:r>
              <w:rPr>
                <w:sz w:val="20"/>
              </w:rPr>
              <w:t>Self-managed overhead</w:t>
            </w:r>
          </w:p>
        </w:tc>
        <w:tc>
          <w:tcPr>
            <w:tcW w:type="dxa" w:w="1728"/>
          </w:tcPr>
          <w:p>
            <w:r>
              <w:rPr>
                <w:sz w:val="20"/>
              </w:rPr>
              <w:t>OSS free / Enterprise $20/user/mo</w:t>
            </w:r>
          </w:p>
        </w:tc>
      </w:tr>
      <w:tr>
        <w:tc>
          <w:tcPr>
            <w:tcW w:type="dxa" w:w="1728"/>
            <w:shd w:val="clear" w:color="auto" w:fill="F2F2F2"/>
          </w:tcPr>
          <w:p>
            <w:r>
              <w:rPr>
                <w:sz w:val="20"/>
              </w:rPr>
              <w:t>NeuralMind</w:t>
            </w:r>
          </w:p>
        </w:tc>
        <w:tc>
          <w:tcPr>
            <w:tcW w:type="dxa" w:w="1728"/>
            <w:shd w:val="clear" w:color="auto" w:fill="F2F2F2"/>
          </w:tcPr>
          <w:p>
            <w:r>
              <w:rPr>
                <w:sz w:val="20"/>
              </w:rPr>
              <w:t>Local-first Graph Intelligence</w:t>
            </w:r>
          </w:p>
        </w:tc>
        <w:tc>
          <w:tcPr>
            <w:tcW w:type="dxa" w:w="1728"/>
            <w:shd w:val="clear" w:color="auto" w:fill="F2F2F2"/>
          </w:tcPr>
          <w:p>
            <w:r>
              <w:rPr>
                <w:sz w:val="20"/>
              </w:rPr>
              <w:t>Privacy, no code egress, open architecture</w:t>
            </w:r>
          </w:p>
        </w:tc>
        <w:tc>
          <w:tcPr>
            <w:tcW w:type="dxa" w:w="1728"/>
            <w:shd w:val="clear" w:color="auto" w:fill="F2F2F2"/>
          </w:tcPr>
          <w:p>
            <w:r>
              <w:rPr>
                <w:sz w:val="20"/>
              </w:rPr>
              <w:t>Smaller community, needs marketing</w:t>
            </w:r>
          </w:p>
        </w:tc>
        <w:tc>
          <w:tcPr>
            <w:tcW w:type="dxa" w:w="1728"/>
            <w:shd w:val="clear" w:color="auto" w:fill="F2F2F2"/>
          </w:tcPr>
          <w:p>
            <w:r>
              <w:rPr>
                <w:sz w:val="20"/>
              </w:rPr>
              <w:t>TBD</w:t>
            </w:r>
          </w:p>
        </w:tc>
      </w:tr>
    </w:tbl>
    <w:p>
      <w:pPr>
        <w:pStyle w:val="Heading2"/>
      </w:pPr>
      <w:r>
        <w:rPr>
          <w:color w:val="1A3C6E"/>
        </w:rPr>
        <w:t>3.1 Competitive Positioning</w:t>
      </w:r>
    </w:p>
    <w:p>
      <w:pPr>
        <w:spacing w:after="120"/>
      </w:pPr>
      <w:r>
        <w:rPr>
          <w:rFonts w:ascii="Calibri" w:hAnsi="Calibri"/>
          <w:b w:val="0"/>
          <w:i w:val="0"/>
          <w:sz w:val="22"/>
        </w:rPr>
        <w:t>NeuralMind is the only local-first platform that combines graph-based semantic indexing, self-learning synapses, and pluggable vector backends. Unlike GitHub Copilot (cloud-locked) or Tabnine (model-only), NeuralMind treats the codebase as a queryable knowledge graph — enabling multi-hop reasoning, impact analysis, and compliance-grade audit trails.</w:t>
      </w:r>
    </w:p>
    <w:p>
      <w:r>
        <w:br w:type="page"/>
      </w:r>
    </w:p>
    <w:p>
      <w:pPr>
        <w:pStyle w:val="Heading1"/>
      </w:pPr>
      <w:r>
        <w:rPr>
          <w:color w:val="1A3C6E"/>
        </w:rPr>
        <w:t>4. Future-Proofing Strategy</w:t>
      </w:r>
    </w:p>
    <w:p>
      <w:pPr>
        <w:spacing w:after="120"/>
      </w:pPr>
      <w:r>
        <w:rPr>
          <w:rFonts w:ascii="Calibri" w:hAnsi="Calibri"/>
          <w:b w:val="0"/>
          <w:i w:val="0"/>
          <w:sz w:val="22"/>
        </w:rPr>
        <w:t>To remain relevant as the AI tooling landscape evolves, NeuralMind is architected around nine strategic pillars that ensure adaptability, compliance, and technical differentiation:</w:t>
      </w: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Heading2"/>
      </w:pPr>
      <w:r>
        <w:rPr>
          <w:color w:val="1A3C6E"/>
        </w:rPr>
        <w:t>4.1 Engineering Value Proposition</w:t>
      </w: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Heading2"/>
      </w:pPr>
      <w:r>
        <w:rPr>
          <w:color w:val="1A3C6E"/>
        </w:rPr>
        <w:t>4.2 Business Value Proposition</w:t>
      </w:r>
    </w:p>
    <w:p>
      <w:pPr>
        <w:pStyle w:val="ListBullet"/>
        <w:ind w:left="425"/>
      </w:pP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5. SWOT Analysis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7D32"/>
          </w:tcPr>
          <w:p>
            <w:pPr>
              <w:jc w:val="center"/>
            </w:pPr>
            <w:r>
              <w:rPr>
                <w:b/>
                <w:color w:val="FFFFFF"/>
                <w:sz w:val="20"/>
              </w:rPr>
            </w:r>
          </w:p>
        </w:tc>
        <w:tc>
          <w:tcPr>
            <w:tcW w:type="dxa" w:w="4320"/>
            <w:shd w:val="clear" w:color="auto" w:fill="2E7D32"/>
          </w:tcPr>
          <w:p>
            <w:pPr>
              <w:jc w:val="center"/>
            </w:pPr>
            <w:r>
              <w:rPr>
                <w:b/>
                <w:color w:val="FFFFFF"/>
                <w:sz w:val="20"/>
              </w:rPr>
              <w:t>Factors</w:t>
            </w:r>
          </w:p>
        </w:tc>
      </w:tr>
      <w:tr>
        <w:tc>
          <w:tcPr>
            <w:tcW w:type="dxa" w:w="4320"/>
          </w:tcPr>
          <w:p>
            <w:r>
              <w:rPr>
                <w:sz w:val="20"/>
              </w:rPr>
              <w:t>Strengths</w:t>
            </w:r>
          </w:p>
        </w:tc>
        <w:tc>
          <w:tcPr>
            <w:tcW w:type="dxa" w:w="4320"/>
          </w:tcPr>
          <w:p>
            <w:r>
              <w:rPr>
                <w:sz w:val="20"/>
              </w:rPr>
              <w:t>• Local-first privacy</w:t>
              <w:br/>
              <w:t>• Graph-based intelligence</w:t>
              <w:br/>
              <w:t>• Self-learning synapses</w:t>
              <w:br/>
              <w:t>• Pluggable backends</w:t>
              <w:br/>
              <w:t>• Open API</w:t>
            </w:r>
          </w:p>
        </w:tc>
      </w:tr>
      <w:tr>
        <w:tc>
          <w:tcPr>
            <w:tcW w:type="dxa" w:w="4320"/>
            <w:shd w:val="clear" w:color="auto" w:fill="F2F2F2"/>
          </w:tcPr>
          <w:p>
            <w:r>
              <w:rPr>
                <w:sz w:val="20"/>
              </w:rPr>
              <w:t>Weaknesses</w:t>
            </w:r>
          </w:p>
        </w:tc>
        <w:tc>
          <w:tcPr>
            <w:tcW w:type="dxa" w:w="4320"/>
            <w:shd w:val="clear" w:color="auto" w:fill="F2F2F2"/>
          </w:tcPr>
          <w:p>
            <w:r>
              <w:rPr>
                <w:sz w:val="20"/>
              </w:rPr>
              <w:t>• Small community</w:t>
              <w:br/>
              <w:t>• No enterprise sales team</w:t>
              <w:br/>
              <w:t>• Limited IDE integrations</w:t>
              <w:br/>
              <w:t>• Young codebase</w:t>
            </w:r>
          </w:p>
        </w:tc>
      </w:tr>
      <w:tr>
        <w:tc>
          <w:tcPr>
            <w:tcW w:type="dxa" w:w="4320"/>
          </w:tcPr>
          <w:p>
            <w:r>
              <w:rPr>
                <w:sz w:val="20"/>
              </w:rPr>
              <w:t>Opportunities</w:t>
            </w:r>
          </w:p>
        </w:tc>
        <w:tc>
          <w:tcPr>
            <w:tcW w:type="dxa" w:w="4320"/>
          </w:tcPr>
          <w:p>
            <w:r>
              <w:rPr>
                <w:sz w:val="20"/>
              </w:rPr>
              <w:t>• $7.65B→$22.2B market</w:t>
              <w:br/>
              <w:t>• Privacy regulations driving on-prem</w:t>
              <w:br/>
              <w:t>• Enterprise AI adoption 91%</w:t>
              <w:br/>
              <w:t>• Graph RAG unbundling from IDEs</w:t>
            </w:r>
          </w:p>
        </w:tc>
      </w:tr>
      <w:tr>
        <w:tc>
          <w:tcPr>
            <w:tcW w:type="dxa" w:w="4320"/>
            <w:shd w:val="clear" w:color="auto" w:fill="F2F2F2"/>
          </w:tcPr>
          <w:p>
            <w:r>
              <w:rPr>
                <w:sz w:val="20"/>
              </w:rPr>
              <w:t>Threats</w:t>
            </w:r>
          </w:p>
        </w:tc>
        <w:tc>
          <w:tcPr>
            <w:tcW w:type="dxa" w:w="4320"/>
            <w:shd w:val="clear" w:color="auto" w:fill="F2F2F2"/>
          </w:tcPr>
          <w:p>
            <w:r>
              <w:rPr>
                <w:sz w:val="20"/>
              </w:rPr>
              <w:t>• GitHub Copilot network effects</w:t>
              <w:br/>
              <w:t>• Sourcegraph enterprise lock-in</w:t>
              <w:br/>
              <w:t>• Fragmented OSS alternatives</w:t>
              <w:br/>
              <w:t>• Rapid model commoditization</w:t>
            </w:r>
          </w:p>
        </w:tc>
      </w:tr>
    </w:tbl>
    <w:p>
      <w:pPr>
        <w:pStyle w:val="Heading2"/>
      </w:pPr>
      <w:r>
        <w:rPr>
          <w:color w:val="1A3C6E"/>
        </w:rPr>
        <w:t>5.1 Strategic Implications</w:t>
      </w: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6. Code Quality Findings</w:t>
      </w:r>
    </w:p>
    <w:p>
      <w:pPr>
        <w:spacing w:after="120"/>
      </w:pPr>
      <w:r>
        <w:rPr>
          <w:rFonts w:ascii="Calibri" w:hAnsi="Calibri"/>
          <w:b w:val="0"/>
          <w:i w:val="0"/>
          <w:sz w:val="22"/>
        </w:rPr>
        <w:t>A comprehensive review of the NeuralMind codebase revealed several structural issues that, if unaddressed, will impede scalability, maintainability, and enterprise readiness. The findings below are prioritized by business impact.</w:t>
      </w:r>
    </w:p>
    <w:p>
      <w:pPr>
        <w:pStyle w:val="Heading2"/>
      </w:pPr>
      <w:r>
        <w:rPr>
          <w:color w:val="1A3C6E"/>
        </w:rPr>
        <w:t>6.1 Critical Findings</w:t>
      </w:r>
    </w:p>
    <w:p>
      <w:pPr>
        <w:spacing w:after="120"/>
      </w:pPr>
      <w:r>
        <w:rPr>
          <w:rFonts w:ascii="Calibri" w:hAnsi="Calibri"/>
          <w:b/>
          <w:i w:val="0"/>
          <w:sz w:val="22"/>
        </w:rPr>
        <w:t>core.py — 1,811 lines (CRITICAL)</w:t>
      </w:r>
    </w:p>
    <w:p>
      <w:pPr>
        <w:spacing w:after="120"/>
      </w:pPr>
      <w:r>
        <w:rPr>
          <w:rFonts w:ascii="Calibri" w:hAnsi="Calibri"/>
          <w:b w:val="0"/>
          <w:i w:val="0"/>
          <w:sz w:val="22"/>
        </w:rPr>
        <w:t>The core module is a monolithic god-object that handles graph construction, query execution, synapse learning, and server orchestration in a single file. This creates an unmaintainable change surface where any modification risks cascading regressions. The file must be decomposed into focused sub-modules: graph_engine, query_planner, synapse_manager, and orchestration.</w:t>
      </w:r>
    </w:p>
    <w:p>
      <w:pPr>
        <w:spacing w:after="120"/>
      </w:pPr>
      <w:r>
        <w:rPr>
          <w:rFonts w:ascii="Calibri" w:hAnsi="Calibri"/>
          <w:b/>
          <w:i w:val="0"/>
          <w:sz w:val="22"/>
        </w:rPr>
        <w:t>ir.py — 963 lines (HIGH)</w:t>
      </w:r>
    </w:p>
    <w:p>
      <w:pPr>
        <w:spacing w:after="120"/>
      </w:pPr>
      <w:r>
        <w:rPr>
          <w:rFonts w:ascii="Calibri" w:hAnsi="Calibri"/>
          <w:b w:val="0"/>
          <w:i w:val="0"/>
          <w:sz w:val="22"/>
        </w:rPr>
        <w:t>The intermediate representation module mixes parsing, normalization, and serialization concerns. While better structured than core.py, it still exceeds the 500-line maintainability threshold. Recommended split: ir_parser, ir_normalize, ir_serialize.</w:t>
      </w:r>
    </w:p>
    <w:p>
      <w:pPr>
        <w:spacing w:after="120"/>
      </w:pPr>
      <w:r>
        <w:rPr>
          <w:rFonts w:ascii="Calibri" w:hAnsi="Calibri"/>
          <w:b/>
          <w:i w:val="0"/>
          <w:sz w:val="22"/>
        </w:rPr>
        <w:t>experiment.py — Regex Hack (HIGH)</w:t>
      </w:r>
    </w:p>
    <w:p>
      <w:pPr>
        <w:spacing w:after="120"/>
      </w:pPr>
      <w:r>
        <w:rPr>
          <w:rFonts w:ascii="Calibri" w:hAnsi="Calibri"/>
          <w:b w:val="0"/>
          <w:i w:val="0"/>
          <w:sz w:val="22"/>
        </w:rPr>
        <w:t>A dangerous regex-based source mutation pattern was identified in experiment.py. This hack performs unrecoverable in-place modification of source files during experimentation, creating a data-loss risk and violating the principle of immutable analysis. This code must be removed immediately and replaced with a sandboxed, AST-based transformation pipeline.</w:t>
      </w:r>
    </w:p>
    <w:p>
      <w:pPr>
        <w:pStyle w:val="Heading2"/>
      </w:pPr>
      <w:r>
        <w:rPr>
          <w:color w:val="1A3C6E"/>
        </w:rPr>
        <w:t>6.2 Additional Observations</w:t>
      </w:r>
    </w:p>
    <w:p>
      <w:pPr>
        <w:pStyle w:val="ListBullet"/>
        <w:ind w:left="425"/>
      </w:pP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7. Refactoring Roadmap</w:t>
      </w:r>
    </w:p>
    <w:p>
      <w:pPr>
        <w:spacing w:after="120"/>
      </w:pPr>
      <w:r>
        <w:rPr>
          <w:rFonts w:ascii="Calibri" w:hAnsi="Calibri"/>
          <w:b w:val="0"/>
          <w:i w:val="0"/>
          <w:sz w:val="22"/>
        </w:rPr>
        <w:t>The following prioritized roadmap addresses the code-quality findings above. Items are ranked by impact-to-effort ratio, with quick wins first.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C62828"/>
          </w:tcPr>
          <w:p>
            <w:pPr>
              <w:jc w:val="center"/>
            </w:pPr>
            <w:r>
              <w:rPr>
                <w:b/>
                <w:color w:val="FFFFFF"/>
                <w:sz w:val="20"/>
              </w:rPr>
              <w:t>Priority</w:t>
            </w:r>
          </w:p>
        </w:tc>
        <w:tc>
          <w:tcPr>
            <w:tcW w:type="dxa" w:w="1728"/>
            <w:shd w:val="clear" w:color="auto" w:fill="C62828"/>
          </w:tcPr>
          <w:p>
            <w:pPr>
              <w:jc w:val="center"/>
            </w:pPr>
            <w:r>
              <w:rPr>
                <w:b/>
                <w:color w:val="FFFFFF"/>
                <w:sz w:val="20"/>
              </w:rPr>
              <w:t>Item</w:t>
            </w:r>
          </w:p>
        </w:tc>
        <w:tc>
          <w:tcPr>
            <w:tcW w:type="dxa" w:w="1728"/>
            <w:shd w:val="clear" w:color="auto" w:fill="C62828"/>
          </w:tcPr>
          <w:p>
            <w:pPr>
              <w:jc w:val="center"/>
            </w:pPr>
            <w:r>
              <w:rPr>
                <w:b/>
                <w:color w:val="FFFFFF"/>
                <w:sz w:val="20"/>
              </w:rPr>
              <w:t>Impact</w:t>
            </w:r>
          </w:p>
        </w:tc>
        <w:tc>
          <w:tcPr>
            <w:tcW w:type="dxa" w:w="1728"/>
            <w:shd w:val="clear" w:color="auto" w:fill="C62828"/>
          </w:tcPr>
          <w:p>
            <w:pPr>
              <w:jc w:val="center"/>
            </w:pPr>
            <w:r>
              <w:rPr>
                <w:b/>
                <w:color w:val="FFFFFF"/>
                <w:sz w:val="20"/>
              </w:rPr>
              <w:t>Effort</w:t>
            </w:r>
          </w:p>
        </w:tc>
        <w:tc>
          <w:tcPr>
            <w:tcW w:type="dxa" w:w="1728"/>
            <w:shd w:val="clear" w:color="auto" w:fill="C62828"/>
          </w:tcPr>
          <w:p>
            <w:pPr>
              <w:jc w:val="center"/>
            </w:pPr>
            <w:r>
              <w:rPr>
                <w:b/>
                <w:color w:val="FFFFFF"/>
                <w:sz w:val="20"/>
              </w:rPr>
              <w:t>Rationale</w:t>
            </w:r>
          </w:p>
        </w:tc>
      </w:tr>
      <w:tr>
        <w:tc>
          <w:tcPr>
            <w:tcW w:type="dxa" w:w="1728"/>
          </w:tcPr>
          <w:p>
            <w:r>
              <w:rPr>
                <w:sz w:val="20"/>
              </w:rPr>
              <w:t>P1</w:t>
            </w:r>
          </w:p>
        </w:tc>
        <w:tc>
          <w:tcPr>
            <w:tcW w:type="dxa" w:w="1728"/>
          </w:tcPr>
          <w:p>
            <w:r>
              <w:rPr>
                <w:sz w:val="20"/>
              </w:rPr>
              <w:t>core.py decomposition</w:t>
            </w:r>
          </w:p>
        </w:tc>
        <w:tc>
          <w:tcPr>
            <w:tcW w:type="dxa" w:w="1728"/>
          </w:tcPr>
          <w:p>
            <w:r>
              <w:rPr>
                <w:sz w:val="20"/>
              </w:rPr>
              <w:t>HIGH</w:t>
            </w:r>
          </w:p>
        </w:tc>
        <w:tc>
          <w:tcPr>
            <w:tcW w:type="dxa" w:w="1728"/>
          </w:tcPr>
          <w:p>
            <w:r>
              <w:rPr>
                <w:sz w:val="20"/>
              </w:rPr>
              <w:t>MED</w:t>
            </w:r>
          </w:p>
        </w:tc>
        <w:tc>
          <w:tcPr>
            <w:tcW w:type="dxa" w:w="1728"/>
          </w:tcPr>
          <w:p>
            <w:r>
              <w:rPr>
                <w:sz w:val="20"/>
              </w:rPr>
              <w:t>1811 lines, highest change surface</w:t>
            </w:r>
          </w:p>
        </w:tc>
      </w:tr>
      <w:tr>
        <w:tc>
          <w:tcPr>
            <w:tcW w:type="dxa" w:w="1728"/>
            <w:shd w:val="clear" w:color="auto" w:fill="F2F2F2"/>
          </w:tcPr>
          <w:p>
            <w:r>
              <w:rPr>
                <w:sz w:val="20"/>
              </w:rPr>
              <w:t>P2</w:t>
            </w:r>
          </w:p>
        </w:tc>
        <w:tc>
          <w:tcPr>
            <w:tcW w:type="dxa" w:w="1728"/>
            <w:shd w:val="clear" w:color="auto" w:fill="F2F2F2"/>
          </w:tcPr>
          <w:p>
            <w:r>
              <w:rPr>
                <w:sz w:val="20"/>
              </w:rPr>
              <w:t>ir.py modularization</w:t>
            </w:r>
          </w:p>
        </w:tc>
        <w:tc>
          <w:tcPr>
            <w:tcW w:type="dxa" w:w="1728"/>
            <w:shd w:val="clear" w:color="auto" w:fill="F2F2F2"/>
          </w:tcPr>
          <w:p>
            <w:r>
              <w:rPr>
                <w:sz w:val="20"/>
              </w:rPr>
              <w:t>HIGH</w:t>
            </w:r>
          </w:p>
        </w:tc>
        <w:tc>
          <w:tcPr>
            <w:tcW w:type="dxa" w:w="1728"/>
            <w:shd w:val="clear" w:color="auto" w:fill="F2F2F2"/>
          </w:tcPr>
          <w:p>
            <w:r>
              <w:rPr>
                <w:sz w:val="20"/>
              </w:rPr>
              <w:t>LOW</w:t>
            </w:r>
          </w:p>
        </w:tc>
        <w:tc>
          <w:tcPr>
            <w:tcW w:type="dxa" w:w="1728"/>
            <w:shd w:val="clear" w:color="auto" w:fill="F2F2F2"/>
          </w:tcPr>
          <w:p>
            <w:r>
              <w:rPr>
                <w:sz w:val="20"/>
              </w:rPr>
              <w:t>963 lines, clear sub-modules</w:t>
            </w:r>
          </w:p>
        </w:tc>
      </w:tr>
      <w:tr>
        <w:tc>
          <w:tcPr>
            <w:tcW w:type="dxa" w:w="1728"/>
          </w:tcPr>
          <w:p>
            <w:r>
              <w:rPr>
                <w:sz w:val="20"/>
              </w:rPr>
              <w:t>P3</w:t>
            </w:r>
          </w:p>
        </w:tc>
        <w:tc>
          <w:tcPr>
            <w:tcW w:type="dxa" w:w="1728"/>
          </w:tcPr>
          <w:p>
            <w:r>
              <w:rPr>
                <w:sz w:val="20"/>
              </w:rPr>
              <w:t>Remove regex-experiment.py</w:t>
            </w:r>
          </w:p>
        </w:tc>
        <w:tc>
          <w:tcPr>
            <w:tcW w:type="dxa" w:w="1728"/>
          </w:tcPr>
          <w:p>
            <w:r>
              <w:rPr>
                <w:sz w:val="20"/>
              </w:rPr>
              <w:t>MED</w:t>
            </w:r>
          </w:p>
        </w:tc>
        <w:tc>
          <w:tcPr>
            <w:tcW w:type="dxa" w:w="1728"/>
          </w:tcPr>
          <w:p>
            <w:r>
              <w:rPr>
                <w:sz w:val="20"/>
              </w:rPr>
              <w:t>LOW</w:t>
            </w:r>
          </w:p>
        </w:tc>
        <w:tc>
          <w:tcPr>
            <w:tcW w:type="dxa" w:w="1728"/>
          </w:tcPr>
          <w:p>
            <w:r>
              <w:rPr>
                <w:sz w:val="20"/>
              </w:rPr>
              <w:t>Dangerous, unrecoverable source mutation</w:t>
            </w:r>
          </w:p>
        </w:tc>
      </w:tr>
      <w:tr>
        <w:tc>
          <w:tcPr>
            <w:tcW w:type="dxa" w:w="1728"/>
            <w:shd w:val="clear" w:color="auto" w:fill="F2F2F2"/>
          </w:tcPr>
          <w:p>
            <w:r>
              <w:rPr>
                <w:sz w:val="20"/>
              </w:rPr>
              <w:t>P4</w:t>
            </w:r>
          </w:p>
        </w:tc>
        <w:tc>
          <w:tcPr>
            <w:tcW w:type="dxa" w:w="1728"/>
            <w:shd w:val="clear" w:color="auto" w:fill="F2F2F2"/>
          </w:tcPr>
          <w:p>
            <w:r>
              <w:rPr>
                <w:sz w:val="20"/>
              </w:rPr>
              <w:t>server.py decomposition</w:t>
            </w:r>
          </w:p>
        </w:tc>
        <w:tc>
          <w:tcPr>
            <w:tcW w:type="dxa" w:w="1728"/>
            <w:shd w:val="clear" w:color="auto" w:fill="F2F2F2"/>
          </w:tcPr>
          <w:p>
            <w:r>
              <w:rPr>
                <w:sz w:val="20"/>
              </w:rPr>
              <w:t>MED</w:t>
            </w:r>
          </w:p>
        </w:tc>
        <w:tc>
          <w:tcPr>
            <w:tcW w:type="dxa" w:w="1728"/>
            <w:shd w:val="clear" w:color="auto" w:fill="F2F2F2"/>
          </w:tcPr>
          <w:p>
            <w:r>
              <w:rPr>
                <w:sz w:val="20"/>
              </w:rPr>
              <w:t>MED</w:t>
            </w:r>
          </w:p>
        </w:tc>
        <w:tc>
          <w:tcPr>
            <w:tcW w:type="dxa" w:w="1728"/>
            <w:shd w:val="clear" w:color="auto" w:fill="F2F2F2"/>
          </w:tcPr>
          <w:p>
            <w:r>
              <w:rPr>
                <w:sz w:val="20"/>
              </w:rPr>
              <w:t>648 lines, mixed concerns</w:t>
            </w:r>
          </w:p>
        </w:tc>
      </w:tr>
      <w:tr>
        <w:tc>
          <w:tcPr>
            <w:tcW w:type="dxa" w:w="1728"/>
          </w:tcPr>
          <w:p>
            <w:r>
              <w:rPr>
                <w:sz w:val="20"/>
              </w:rPr>
              <w:t>P5</w:t>
            </w:r>
          </w:p>
        </w:tc>
        <w:tc>
          <w:tcPr>
            <w:tcW w:type="dxa" w:w="1728"/>
          </w:tcPr>
          <w:p>
            <w:r>
              <w:rPr>
                <w:sz w:val="20"/>
              </w:rPr>
              <w:t>Remove deprecated enable_reranking</w:t>
            </w:r>
          </w:p>
        </w:tc>
        <w:tc>
          <w:tcPr>
            <w:tcW w:type="dxa" w:w="1728"/>
          </w:tcPr>
          <w:p>
            <w:r>
              <w:rPr>
                <w:sz w:val="20"/>
              </w:rPr>
              <w:t>LOW</w:t>
            </w:r>
          </w:p>
        </w:tc>
        <w:tc>
          <w:tcPr>
            <w:tcW w:type="dxa" w:w="1728"/>
          </w:tcPr>
          <w:p>
            <w:r>
              <w:rPr>
                <w:sz w:val="20"/>
              </w:rPr>
              <w:t>LOW</w:t>
            </w:r>
          </w:p>
        </w:tc>
        <w:tc>
          <w:tcPr>
            <w:tcW w:type="dxa" w:w="1728"/>
          </w:tcPr>
          <w:p>
            <w:r>
              <w:rPr>
                <w:sz w:val="20"/>
              </w:rPr>
              <w:t>Dead attribute</w:t>
            </w:r>
          </w:p>
        </w:tc>
      </w:tr>
    </w:tbl>
    <w:p>
      <w:pPr>
        <w:pStyle w:val="Heading2"/>
      </w:pPr>
      <w:r>
        <w:rPr>
          <w:color w:val="1A3C6E"/>
        </w:rPr>
        <w:t>7.1 Execution Principles</w:t>
      </w: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8. Go-to-Market Strategy</w:t>
      </w:r>
    </w:p>
    <w:p>
      <w:pPr>
        <w:spacing w:after="120"/>
      </w:pPr>
      <w:r>
        <w:rPr>
          <w:rFonts w:ascii="Calibri" w:hAnsi="Calibri"/>
          <w:b w:val="0"/>
          <w:i w:val="0"/>
          <w:sz w:val="22"/>
        </w:rPr>
        <w:t>NeuralMind's go-to-market motion follows a land-and-expand model targeting four distinct customer segments. The strategy leverages open-source adoption as a top-of-funnel engine and converts compliance-driven enterprises into high-value accounts.</w:t>
      </w:r>
    </w:p>
    <w:p>
      <w:pPr>
        <w:pStyle w:val="Heading2"/>
      </w:pPr>
      <w:r>
        <w:rPr>
          <w:color w:val="1A3C6E"/>
        </w:rPr>
        <w:t>8.1 Target Segments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center"/>
            </w:pPr>
            <w:r>
              <w:rPr>
                <w:b/>
                <w:color w:val="FFFFFF"/>
                <w:sz w:val="20"/>
              </w:rPr>
              <w:t>Segment</w:t>
            </w:r>
          </w:p>
        </w:tc>
        <w:tc>
          <w:tcPr>
            <w:tcW w:type="dxa" w:w="2880"/>
            <w:shd w:val="clear" w:color="auto" w:fill="1A3C6E"/>
          </w:tcPr>
          <w:p>
            <w:pPr>
              <w:jc w:val="center"/>
            </w:pPr>
            <w:r>
              <w:rPr>
                <w:b/>
                <w:color w:val="FFFFFF"/>
                <w:sz w:val="20"/>
              </w:rPr>
              <w:t>Pain Point</w:t>
            </w:r>
          </w:p>
        </w:tc>
        <w:tc>
          <w:tcPr>
            <w:tcW w:type="dxa" w:w="2880"/>
            <w:shd w:val="clear" w:color="auto" w:fill="1A3C6E"/>
          </w:tcPr>
          <w:p>
            <w:pPr>
              <w:jc w:val="center"/>
            </w:pPr>
            <w:r>
              <w:rPr>
                <w:b/>
                <w:color w:val="FFFFFF"/>
                <w:sz w:val="20"/>
              </w:rPr>
              <w:t>NeuralMind Fit</w:t>
            </w:r>
          </w:p>
        </w:tc>
      </w:tr>
      <w:tr>
        <w:tc>
          <w:tcPr>
            <w:tcW w:type="dxa" w:w="2880"/>
          </w:tcPr>
          <w:p>
            <w:r>
              <w:rPr>
                <w:sz w:val="20"/>
              </w:rPr>
              <w:t>Engineering Teams (10-100)</w:t>
            </w:r>
          </w:p>
        </w:tc>
        <w:tc>
          <w:tcPr>
            <w:tcW w:type="dxa" w:w="2880"/>
          </w:tcPr>
          <w:p>
            <w:r>
              <w:rPr>
                <w:sz w:val="20"/>
              </w:rPr>
              <w:t>Copilot cost escalates, privacy concerns</w:t>
            </w:r>
          </w:p>
        </w:tc>
        <w:tc>
          <w:tcPr>
            <w:tcW w:type="dxa" w:w="2880"/>
          </w:tcPr>
          <w:p>
            <w:r>
              <w:rPr>
                <w:sz w:val="20"/>
              </w:rPr>
              <w:t>Team tier with RBAC</w:t>
            </w:r>
          </w:p>
        </w:tc>
      </w:tr>
      <w:tr>
        <w:tc>
          <w:tcPr>
            <w:tcW w:type="dxa" w:w="2880"/>
            <w:shd w:val="clear" w:color="auto" w:fill="F2F2F2"/>
          </w:tcPr>
          <w:p>
            <w:r>
              <w:rPr>
                <w:sz w:val="20"/>
              </w:rPr>
              <w:t>Security-Sensitive (Fintech, Defense)</w:t>
            </w:r>
          </w:p>
        </w:tc>
        <w:tc>
          <w:tcPr>
            <w:tcW w:type="dxa" w:w="2880"/>
            <w:shd w:val="clear" w:color="auto" w:fill="F2F2F2"/>
          </w:tcPr>
          <w:p>
            <w:r>
              <w:rPr>
                <w:sz w:val="20"/>
              </w:rPr>
              <w:t>Cannot send code to cloud AI</w:t>
            </w:r>
          </w:p>
        </w:tc>
        <w:tc>
          <w:tcPr>
            <w:tcW w:type="dxa" w:w="2880"/>
            <w:shd w:val="clear" w:color="auto" w:fill="F2F2F2"/>
          </w:tcPr>
          <w:p>
            <w:r>
              <w:rPr>
                <w:sz w:val="20"/>
              </w:rPr>
              <w:t>Enterprise air-gap deployment</w:t>
            </w:r>
          </w:p>
        </w:tc>
      </w:tr>
      <w:tr>
        <w:tc>
          <w:tcPr>
            <w:tcW w:type="dxa" w:w="2880"/>
          </w:tcPr>
          <w:p>
            <w:r>
              <w:rPr>
                <w:sz w:val="20"/>
              </w:rPr>
              <w:t>Platform/Infra Teams</w:t>
            </w:r>
          </w:p>
        </w:tc>
        <w:tc>
          <w:tcPr>
            <w:tcW w:type="dxa" w:w="2880"/>
          </w:tcPr>
          <w:p>
            <w:r>
              <w:rPr>
                <w:sz w:val="20"/>
              </w:rPr>
              <w:t>Multi-repo complexity, onboarding cost</w:t>
            </w:r>
          </w:p>
        </w:tc>
        <w:tc>
          <w:tcPr>
            <w:tcW w:type="dxa" w:w="2880"/>
          </w:tcPr>
          <w:p>
            <w:r>
              <w:rPr>
                <w:sz w:val="20"/>
              </w:rPr>
              <w:t>Graph intelligence + audit trail</w:t>
            </w:r>
          </w:p>
        </w:tc>
      </w:tr>
      <w:tr>
        <w:tc>
          <w:tcPr>
            <w:tcW w:type="dxa" w:w="2880"/>
            <w:shd w:val="clear" w:color="auto" w:fill="F2F2F2"/>
          </w:tcPr>
          <w:p>
            <w:r>
              <w:rPr>
                <w:sz w:val="20"/>
              </w:rPr>
              <w:t>Business/Management</w:t>
            </w:r>
          </w:p>
        </w:tc>
        <w:tc>
          <w:tcPr>
            <w:tcW w:type="dxa" w:w="2880"/>
            <w:shd w:val="clear" w:color="auto" w:fill="F2F2F2"/>
          </w:tcPr>
          <w:p>
            <w:r>
              <w:rPr>
                <w:sz w:val="20"/>
              </w:rPr>
              <w:t>Engineering productivity is a black box</w:t>
            </w:r>
          </w:p>
        </w:tc>
        <w:tc>
          <w:tcPr>
            <w:tcW w:type="dxa" w:w="2880"/>
            <w:shd w:val="clear" w:color="auto" w:fill="F2F2F2"/>
          </w:tcPr>
          <w:p>
            <w:r>
              <w:rPr>
                <w:sz w:val="20"/>
              </w:rPr>
              <w:t>Dashboard + audit metrics</w:t>
            </w:r>
          </w:p>
        </w:tc>
      </w:tr>
    </w:tbl>
    <w:p>
      <w:pPr>
        <w:pStyle w:val="Heading2"/>
      </w:pPr>
      <w:r>
        <w:rPr>
          <w:color w:val="1A3C6E"/>
        </w:rPr>
        <w:t>8.2 Pricing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center"/>
            </w:pPr>
            <w:r>
              <w:rPr>
                <w:b/>
                <w:color w:val="FFFFFF"/>
                <w:sz w:val="20"/>
              </w:rPr>
              <w:t>Tier</w:t>
            </w:r>
          </w:p>
        </w:tc>
        <w:tc>
          <w:tcPr>
            <w:tcW w:type="dxa" w:w="2880"/>
            <w:shd w:val="clear" w:color="auto" w:fill="1A3C6E"/>
          </w:tcPr>
          <w:p>
            <w:pPr>
              <w:jc w:val="center"/>
            </w:pPr>
            <w:r>
              <w:rPr>
                <w:b/>
                <w:color w:val="FFFFFF"/>
                <w:sz w:val="20"/>
              </w:rPr>
              <w:t>Price</w:t>
            </w:r>
          </w:p>
        </w:tc>
        <w:tc>
          <w:tcPr>
            <w:tcW w:type="dxa" w:w="2880"/>
            <w:shd w:val="clear" w:color="auto" w:fill="1A3C6E"/>
          </w:tcPr>
          <w:p>
            <w:pPr>
              <w:jc w:val="center"/>
            </w:pPr>
            <w:r>
              <w:rPr>
                <w:b/>
                <w:color w:val="FFFFFF"/>
                <w:sz w:val="20"/>
              </w:rPr>
              <w:t>Features</w:t>
            </w:r>
          </w:p>
        </w:tc>
      </w:tr>
      <w:tr>
        <w:tc>
          <w:tcPr>
            <w:tcW w:type="dxa" w:w="2880"/>
          </w:tcPr>
          <w:p>
            <w:r>
              <w:rPr>
                <w:sz w:val="20"/>
              </w:rPr>
              <w:t>OSS</w:t>
            </w:r>
          </w:p>
        </w:tc>
        <w:tc>
          <w:tcPr>
            <w:tcW w:type="dxa" w:w="2880"/>
          </w:tcPr>
          <w:p>
            <w:r>
              <w:rPr>
                <w:sz w:val="20"/>
              </w:rPr>
              <w:t>$0</w:t>
            </w:r>
          </w:p>
        </w:tc>
        <w:tc>
          <w:tcPr>
            <w:tcW w:type="dxa" w:w="2880"/>
          </w:tcPr>
          <w:p>
            <w:r>
              <w:rPr>
                <w:sz w:val="20"/>
              </w:rPr>
              <w:t>Full graph intelligence, community support</w:t>
            </w:r>
          </w:p>
        </w:tc>
      </w:tr>
      <w:tr>
        <w:tc>
          <w:tcPr>
            <w:tcW w:type="dxa" w:w="2880"/>
            <w:shd w:val="clear" w:color="auto" w:fill="F2F2F2"/>
          </w:tcPr>
          <w:p>
            <w:r>
              <w:rPr>
                <w:sz w:val="20"/>
              </w:rPr>
              <w:t>TEAM</w:t>
            </w:r>
          </w:p>
        </w:tc>
        <w:tc>
          <w:tcPr>
            <w:tcW w:type="dxa" w:w="2880"/>
            <w:shd w:val="clear" w:color="auto" w:fill="F2F2F2"/>
          </w:tcPr>
          <w:p>
            <w:r>
              <w:rPr>
                <w:sz w:val="20"/>
              </w:rPr>
              <w:t>$25/user/mo</w:t>
            </w:r>
          </w:p>
        </w:tc>
        <w:tc>
          <w:tcPr>
            <w:tcW w:type="dxa" w:w="2880"/>
            <w:shd w:val="clear" w:color="auto" w:fill="F2F2F2"/>
          </w:tcPr>
          <w:p>
            <w:r>
              <w:rPr>
                <w:sz w:val="20"/>
              </w:rPr>
              <w:t>RBAC, audit trail, SSO, priority support</w:t>
            </w:r>
          </w:p>
        </w:tc>
      </w:tr>
      <w:tr>
        <w:tc>
          <w:tcPr>
            <w:tcW w:type="dxa" w:w="2880"/>
          </w:tcPr>
          <w:p>
            <w:r>
              <w:rPr>
                <w:sz w:val="20"/>
              </w:rPr>
              <w:t>ENTERPRISE</w:t>
            </w:r>
          </w:p>
        </w:tc>
        <w:tc>
          <w:tcPr>
            <w:tcW w:type="dxa" w:w="2880"/>
          </w:tcPr>
          <w:p>
            <w:r>
              <w:rPr>
                <w:sz w:val="20"/>
              </w:rPr>
              <w:t>Custom (from $50K/yr)</w:t>
            </w:r>
          </w:p>
        </w:tc>
        <w:tc>
          <w:tcPr>
            <w:tcW w:type="dxa" w:w="2880"/>
          </w:tcPr>
          <w:p>
            <w:r>
              <w:rPr>
                <w:sz w:val="20"/>
              </w:rPr>
              <w:t>Air-gap, SLA, custom parsers, dedicated CSM</w:t>
            </w:r>
          </w:p>
        </w:tc>
      </w:tr>
    </w:tbl>
    <w:p>
      <w:pPr>
        <w:pStyle w:val="Heading2"/>
      </w:pPr>
      <w:r>
        <w:rPr>
          <w:color w:val="1A3C6E"/>
        </w:rPr>
        <w:t>8.3 GTM Motion</w:t>
      </w:r>
    </w:p>
    <w:p>
      <w:pPr>
        <w:pStyle w:val="ListBullet"/>
        <w:ind w:left="425"/>
      </w:pPr>
    </w:p>
    <w:p>
      <w:pPr>
        <w:pStyle w:val="ListBullet"/>
        <w:ind w:left="425"/>
      </w:pPr>
    </w:p>
    <w:p>
      <w:pPr>
        <w:pStyle w:val="ListBullet"/>
        <w:ind w:left="425"/>
      </w:pPr>
    </w:p>
    <w:p>
      <w:pPr>
        <w:pStyle w:val="ListBullet"/>
        <w:ind w:left="425"/>
      </w:pPr>
    </w:p>
    <w:p>
      <w:pPr>
        <w:pStyle w:val="ListBullet"/>
        <w:ind w:left="425"/>
      </w:pPr>
    </w:p>
    <w:p>
      <w:r>
        <w:br w:type="page"/>
      </w:r>
    </w:p>
    <w:p>
      <w:pPr>
        <w:pStyle w:val="Heading1"/>
      </w:pPr>
      <w:r>
        <w:rPr>
          <w:color w:val="1A3C6E"/>
        </w:rPr>
        <w:t>9. Financial Projections (5-Year)</w:t>
      </w:r>
    </w:p>
    <w:p>
      <w:pPr>
        <w:spacing w:after="120"/>
      </w:pPr>
      <w:r>
        <w:rPr>
          <w:rFonts w:ascii="Calibri" w:hAnsi="Calibri"/>
          <w:b w:val="0"/>
          <w:i w:val="0"/>
          <w:sz w:val="22"/>
        </w:rPr>
        <w:t>The following conservative financial model assumes organic growth driven by open-source adoption and enterprise conversion. Revenue is net of churn; cost includes engineering, infrastructure, and initial sales hire.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565C0"/>
          </w:tcPr>
          <w:p>
            <w:pPr>
              <w:jc w:val="center"/>
            </w:pPr>
            <w:r>
              <w:rPr>
                <w:b/>
                <w:color w:val="FFFFFF"/>
                <w:sz w:val="20"/>
              </w:rPr>
              <w:t>Year</w:t>
            </w:r>
          </w:p>
        </w:tc>
        <w:tc>
          <w:tcPr>
            <w:tcW w:type="dxa" w:w="1440"/>
            <w:shd w:val="clear" w:color="auto" w:fill="1565C0"/>
          </w:tcPr>
          <w:p>
            <w:pPr>
              <w:jc w:val="center"/>
            </w:pPr>
            <w:r>
              <w:rPr>
                <w:b/>
                <w:color w:val="FFFFFF"/>
                <w:sz w:val="20"/>
              </w:rPr>
              <w:t>Revenue</w:t>
            </w:r>
          </w:p>
        </w:tc>
        <w:tc>
          <w:tcPr>
            <w:tcW w:type="dxa" w:w="1440"/>
            <w:shd w:val="clear" w:color="auto" w:fill="1565C0"/>
          </w:tcPr>
          <w:p>
            <w:pPr>
              <w:jc w:val="center"/>
            </w:pPr>
            <w:r>
              <w:rPr>
                <w:b/>
                <w:color w:val="FFFFFF"/>
                <w:sz w:val="20"/>
              </w:rPr>
              <w:t>Cost</w:t>
            </w:r>
          </w:p>
        </w:tc>
        <w:tc>
          <w:tcPr>
            <w:tcW w:type="dxa" w:w="1440"/>
            <w:shd w:val="clear" w:color="auto" w:fill="1565C0"/>
          </w:tcPr>
          <w:p>
            <w:pPr>
              <w:jc w:val="center"/>
            </w:pPr>
            <w:r>
              <w:rPr>
                <w:b/>
                <w:color w:val="FFFFFF"/>
                <w:sz w:val="20"/>
              </w:rPr>
              <w:t>Net</w:t>
            </w:r>
          </w:p>
        </w:tc>
        <w:tc>
          <w:tcPr>
            <w:tcW w:type="dxa" w:w="1440"/>
            <w:shd w:val="clear" w:color="auto" w:fill="1565C0"/>
          </w:tcPr>
          <w:p>
            <w:pPr>
              <w:jc w:val="center"/>
            </w:pPr>
            <w:r>
              <w:rPr>
                <w:b/>
                <w:color w:val="FFFFFF"/>
                <w:sz w:val="20"/>
              </w:rPr>
              <w:t>Users</w:t>
            </w:r>
          </w:p>
        </w:tc>
        <w:tc>
          <w:tcPr>
            <w:tcW w:type="dxa" w:w="1440"/>
            <w:shd w:val="clear" w:color="auto" w:fill="1565C0"/>
          </w:tcPr>
          <w:p>
            <w:pPr>
              <w:jc w:val="center"/>
            </w:pPr>
            <w:r>
              <w:rPr>
                <w:b/>
                <w:color w:val="FFFFFF"/>
                <w:sz w:val="20"/>
              </w:rPr>
              <w:t>Notes</w:t>
            </w:r>
          </w:p>
        </w:tc>
      </w:tr>
      <w:tr>
        <w:tc>
          <w:tcPr>
            <w:tcW w:type="dxa" w:w="1440"/>
          </w:tcPr>
          <w:p>
            <w:r>
              <w:rPr>
                <w:sz w:val="20"/>
              </w:rPr>
              <w:t>Year 1</w:t>
            </w:r>
          </w:p>
        </w:tc>
        <w:tc>
          <w:tcPr>
            <w:tcW w:type="dxa" w:w="1440"/>
          </w:tcPr>
          <w:p>
            <w:r>
              <w:rPr>
                <w:sz w:val="20"/>
              </w:rPr>
              <w:t>$0</w:t>
            </w:r>
          </w:p>
        </w:tc>
        <w:tc>
          <w:tcPr>
            <w:tcW w:type="dxa" w:w="1440"/>
          </w:tcPr>
          <w:p>
            <w:r>
              <w:rPr>
                <w:sz w:val="20"/>
              </w:rPr>
              <w:t>$85,000</w:t>
            </w:r>
          </w:p>
        </w:tc>
        <w:tc>
          <w:tcPr>
            <w:tcW w:type="dxa" w:w="1440"/>
          </w:tcPr>
          <w:p>
            <w:r>
              <w:rPr>
                <w:sz w:val="20"/>
              </w:rPr>
              <w:t>$-85,000</w:t>
            </w:r>
          </w:p>
        </w:tc>
        <w:tc>
          <w:tcPr>
            <w:tcW w:type="dxa" w:w="1440"/>
          </w:tcPr>
          <w:p>
            <w:r>
              <w:rPr>
                <w:sz w:val="20"/>
              </w:rPr>
              <w:t>0</w:t>
            </w:r>
          </w:p>
        </w:tc>
        <w:tc>
          <w:tcPr>
            <w:tcW w:type="dxa" w:w="1440"/>
          </w:tcPr>
          <w:p>
            <w:r>
              <w:rPr>
                <w:sz w:val="20"/>
              </w:rPr>
              <w:t>OSS launch, community building</w:t>
            </w:r>
          </w:p>
        </w:tc>
      </w:tr>
      <w:tr>
        <w:tc>
          <w:tcPr>
            <w:tcW w:type="dxa" w:w="1440"/>
            <w:shd w:val="clear" w:color="auto" w:fill="F2F2F2"/>
          </w:tcPr>
          <w:p>
            <w:r>
              <w:rPr>
                <w:sz w:val="20"/>
              </w:rPr>
              <w:t>Year 2</w:t>
            </w:r>
          </w:p>
        </w:tc>
        <w:tc>
          <w:tcPr>
            <w:tcW w:type="dxa" w:w="1440"/>
            <w:shd w:val="clear" w:color="auto" w:fill="F2F2F2"/>
          </w:tcPr>
          <w:p>
            <w:r>
              <w:rPr>
                <w:sz w:val="20"/>
              </w:rPr>
              <w:t>$45,000</w:t>
            </w:r>
          </w:p>
        </w:tc>
        <w:tc>
          <w:tcPr>
            <w:tcW w:type="dxa" w:w="1440"/>
            <w:shd w:val="clear" w:color="auto" w:fill="F2F2F2"/>
          </w:tcPr>
          <w:p>
            <w:r>
              <w:rPr>
                <w:sz w:val="20"/>
              </w:rPr>
              <w:t>$180,000</w:t>
            </w:r>
          </w:p>
        </w:tc>
        <w:tc>
          <w:tcPr>
            <w:tcW w:type="dxa" w:w="1440"/>
            <w:shd w:val="clear" w:color="auto" w:fill="F2F2F2"/>
          </w:tcPr>
          <w:p>
            <w:r>
              <w:rPr>
                <w:sz w:val="20"/>
              </w:rPr>
              <w:t>$-135,000</w:t>
            </w:r>
          </w:p>
        </w:tc>
        <w:tc>
          <w:tcPr>
            <w:tcW w:type="dxa" w:w="1440"/>
            <w:shd w:val="clear" w:color="auto" w:fill="F2F2F2"/>
          </w:tcPr>
          <w:p>
            <w:r>
              <w:rPr>
                <w:sz w:val="20"/>
              </w:rPr>
              <w:t>50</w:t>
            </w:r>
          </w:p>
        </w:tc>
        <w:tc>
          <w:tcPr>
            <w:tcW w:type="dxa" w:w="1440"/>
            <w:shd w:val="clear" w:color="auto" w:fill="F2F2F2"/>
          </w:tcPr>
          <w:p>
            <w:r>
              <w:rPr>
                <w:sz w:val="20"/>
              </w:rPr>
              <w:t>First enterprise pilots, 50 seats</w:t>
            </w:r>
          </w:p>
        </w:tc>
      </w:tr>
      <w:tr>
        <w:tc>
          <w:tcPr>
            <w:tcW w:type="dxa" w:w="1440"/>
          </w:tcPr>
          <w:p>
            <w:r>
              <w:rPr>
                <w:sz w:val="20"/>
              </w:rPr>
              <w:t>Year 3</w:t>
            </w:r>
          </w:p>
        </w:tc>
        <w:tc>
          <w:tcPr>
            <w:tcW w:type="dxa" w:w="1440"/>
          </w:tcPr>
          <w:p>
            <w:r>
              <w:rPr>
                <w:sz w:val="20"/>
              </w:rPr>
              <w:t>$320,000</w:t>
            </w:r>
          </w:p>
        </w:tc>
        <w:tc>
          <w:tcPr>
            <w:tcW w:type="dxa" w:w="1440"/>
          </w:tcPr>
          <w:p>
            <w:r>
              <w:rPr>
                <w:sz w:val="20"/>
              </w:rPr>
              <w:t>$380,000</w:t>
            </w:r>
          </w:p>
        </w:tc>
        <w:tc>
          <w:tcPr>
            <w:tcW w:type="dxa" w:w="1440"/>
          </w:tcPr>
          <w:p>
            <w:r>
              <w:rPr>
                <w:sz w:val="20"/>
              </w:rPr>
              <w:t>$-60,000</w:t>
            </w:r>
          </w:p>
        </w:tc>
        <w:tc>
          <w:tcPr>
            <w:tcW w:type="dxa" w:w="1440"/>
          </w:tcPr>
          <w:p>
            <w:r>
              <w:rPr>
                <w:sz w:val="20"/>
              </w:rPr>
              <w:t>250</w:t>
            </w:r>
          </w:p>
        </w:tc>
        <w:tc>
          <w:tcPr>
            <w:tcW w:type="dxa" w:w="1440"/>
          </w:tcPr>
          <w:p>
            <w:r>
              <w:rPr>
                <w:sz w:val="20"/>
              </w:rPr>
              <w:t>Enterprise tier launch, 10 paying teams</w:t>
            </w:r>
          </w:p>
        </w:tc>
      </w:tr>
      <w:tr>
        <w:tc>
          <w:tcPr>
            <w:tcW w:type="dxa" w:w="1440"/>
            <w:shd w:val="clear" w:color="auto" w:fill="F2F2F2"/>
          </w:tcPr>
          <w:p>
            <w:r>
              <w:rPr>
                <w:sz w:val="20"/>
              </w:rPr>
              <w:t>Year 4</w:t>
            </w:r>
          </w:p>
        </w:tc>
        <w:tc>
          <w:tcPr>
            <w:tcW w:type="dxa" w:w="1440"/>
            <w:shd w:val="clear" w:color="auto" w:fill="F2F2F2"/>
          </w:tcPr>
          <w:p>
            <w:r>
              <w:rPr>
                <w:sz w:val="20"/>
              </w:rPr>
              <w:t>$950,000</w:t>
            </w:r>
          </w:p>
        </w:tc>
        <w:tc>
          <w:tcPr>
            <w:tcW w:type="dxa" w:w="1440"/>
            <w:shd w:val="clear" w:color="auto" w:fill="F2F2F2"/>
          </w:tcPr>
          <w:p>
            <w:r>
              <w:rPr>
                <w:sz w:val="20"/>
              </w:rPr>
              <w:t>$620,000</w:t>
            </w:r>
          </w:p>
        </w:tc>
        <w:tc>
          <w:tcPr>
            <w:tcW w:type="dxa" w:w="1440"/>
            <w:shd w:val="clear" w:color="auto" w:fill="F2F2F2"/>
          </w:tcPr>
          <w:p>
            <w:r>
              <w:rPr>
                <w:sz w:val="20"/>
              </w:rPr>
              <w:t>$330,000</w:t>
            </w:r>
          </w:p>
        </w:tc>
        <w:tc>
          <w:tcPr>
            <w:tcW w:type="dxa" w:w="1440"/>
            <w:shd w:val="clear" w:color="auto" w:fill="F2F2F2"/>
          </w:tcPr>
          <w:p>
            <w:r>
              <w:rPr>
                <w:sz w:val="20"/>
              </w:rPr>
              <w:t>750</w:t>
            </w:r>
          </w:p>
        </w:tc>
        <w:tc>
          <w:tcPr>
            <w:tcW w:type="dxa" w:w="1440"/>
            <w:shd w:val="clear" w:color="auto" w:fill="F2F2F2"/>
          </w:tcPr>
          <w:p>
            <w:r>
              <w:rPr>
                <w:sz w:val="20"/>
              </w:rPr>
              <w:t>Multi-region, partnership channel</w:t>
            </w:r>
          </w:p>
        </w:tc>
      </w:tr>
      <w:tr>
        <w:tc>
          <w:tcPr>
            <w:tcW w:type="dxa" w:w="1440"/>
          </w:tcPr>
          <w:p>
            <w:r>
              <w:rPr>
                <w:sz w:val="20"/>
              </w:rPr>
              <w:t>Year 5</w:t>
            </w:r>
          </w:p>
        </w:tc>
        <w:tc>
          <w:tcPr>
            <w:tcW w:type="dxa" w:w="1440"/>
          </w:tcPr>
          <w:p>
            <w:r>
              <w:rPr>
                <w:sz w:val="20"/>
              </w:rPr>
              <w:t>$2,400,000</w:t>
            </w:r>
          </w:p>
        </w:tc>
        <w:tc>
          <w:tcPr>
            <w:tcW w:type="dxa" w:w="1440"/>
          </w:tcPr>
          <w:p>
            <w:r>
              <w:rPr>
                <w:sz w:val="20"/>
              </w:rPr>
              <w:t>$1,100,000</w:t>
            </w:r>
          </w:p>
        </w:tc>
        <w:tc>
          <w:tcPr>
            <w:tcW w:type="dxa" w:w="1440"/>
          </w:tcPr>
          <w:p>
            <w:r>
              <w:rPr>
                <w:sz w:val="20"/>
              </w:rPr>
              <w:t>$1,300,000</w:t>
            </w:r>
          </w:p>
        </w:tc>
        <w:tc>
          <w:tcPr>
            <w:tcW w:type="dxa" w:w="1440"/>
          </w:tcPr>
          <w:p>
            <w:r>
              <w:rPr>
                <w:sz w:val="20"/>
              </w:rPr>
              <w:t>2,000</w:t>
            </w:r>
          </w:p>
        </w:tc>
        <w:tc>
          <w:tcPr>
            <w:tcW w:type="dxa" w:w="1440"/>
          </w:tcPr>
          <w:p>
            <w:r>
              <w:rPr>
                <w:sz w:val="20"/>
              </w:rPr>
              <w:t>Category leadership in local-first</w:t>
            </w:r>
          </w:p>
        </w:tc>
      </w:tr>
    </w:tbl>
    <w:p>
      <w:pPr>
        <w:pStyle w:val="Heading2"/>
      </w:pPr>
      <w:r>
        <w:rPr>
          <w:color w:val="1A3C6E"/>
        </w:rPr>
        <w:t>9.1 Key Assumptions</w:t>
      </w: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Heading2"/>
      </w:pPr>
      <w:r>
        <w:rPr>
          <w:color w:val="1A3C6E"/>
        </w:rPr>
        <w:t>9.2 Path to Profitability</w:t>
      </w:r>
    </w:p>
    <w:p>
      <w:pPr>
        <w:spacing w:after="120"/>
      </w:pPr>
      <w:r>
        <w:rPr>
          <w:rFonts w:ascii="Calibri" w:hAnsi="Calibri"/>
          <w:b w:val="0"/>
          <w:i w:val="0"/>
          <w:sz w:val="22"/>
        </w:rPr>
        <w:t>The model reaches cash-flow positivity in Year 4 ($330K net) and scales to $1.3 M net by Year 5. The primary lever is enterprise tier pricing, which carries 80%+ gross margins once the platform is established.</w:t>
      </w:r>
    </w:p>
    <w:p>
      <w:r>
        <w:br w:type="page"/>
      </w:r>
    </w:p>
    <w:p>
      <w:pPr>
        <w:pStyle w:val="Heading1"/>
      </w:pPr>
      <w:r>
        <w:rPr>
          <w:color w:val="1A3C6E"/>
        </w:rPr>
        <w:t>10. Conclusion</w:t>
      </w:r>
    </w:p>
    <w:p>
      <w:pPr>
        <w:spacing w:after="120"/>
      </w:pPr>
      <w:r>
        <w:rPr>
          <w:rFonts w:ascii="Calibri" w:hAnsi="Calibri"/>
          <w:b w:val="0"/>
          <w:i w:val="0"/>
          <w:sz w:val="22"/>
        </w:rPr>
        <w:t>NeuralMind stands at the intersection of two powerful trends: the explosive growth of AI code tools ($7.65 B → $22.2B by 2030) and the enterprise demand for privacy-preserving, local-first AI. The technical differentiation is real — graph-based semantic intelligence with self-learning capabilities is a genuine moat against LLM-only competitors.</w:t>
      </w:r>
    </w:p>
    <w:p>
      <w:pPr>
        <w:spacing w:after="120"/>
      </w:pPr>
      <w:r>
        <w:rPr>
          <w:rFonts w:ascii="Calibri" w:hAnsi="Calibri"/>
          <w:b w:val="0"/>
          <w:i w:val="0"/>
          <w:sz w:val="22"/>
        </w:rPr>
        <w:t>However, the codebase requires immediate attention. The monolithic core.py, the dangerous regex hack in experiment.py, and the lack of test coverage collectively represent existential risk to the project's credibility and scalability. The refactoring roadmap outlined in this report must be executed in parallel with the go-to-market motion — not after.</w:t>
      </w:r>
    </w:p>
    <w:p>
      <w:pPr>
        <w:spacing w:after="120"/>
      </w:pPr>
      <w:r>
        <w:rPr>
          <w:rFonts w:ascii="Calibri" w:hAnsi="Calibri"/>
          <w:b w:val="0"/>
          <w:i w:val="0"/>
          <w:sz w:val="22"/>
        </w:rPr>
        <w:t>The path forward is clear: stabilize the codebase, launch the open-source community, convert compliance-driven enterprises, and build toward category leadership in local-first code intelligence. With disciplined execution, NeuralMind can capture meaningful share of a $22 B market while maintaining the privacy-first principles that define its brand.</w:t>
      </w:r>
    </w:p>
    <w:p>
      <w:pPr>
        <w:pStyle w:val="Heading2"/>
      </w:pPr>
      <w:r>
        <w:rPr>
          <w:color w:val="1A3C6E"/>
        </w:rPr>
        <w:t>Recommended Immediate Actions</w:t>
      </w:r>
    </w:p>
    <w:p>
      <w:pPr>
        <w:pStyle w:val="ListBullet"/>
        <w:ind w:left="425"/>
      </w:pPr>
    </w:p>
    <w:p>
      <w:pPr>
        <w:pStyle w:val="ListBullet"/>
        <w:ind w:left="425"/>
      </w:pPr>
    </w:p>
    <w:p>
      <w:pPr>
        <w:pStyle w:val="ListBullet"/>
        <w:ind w:left="425"/>
      </w:pPr>
    </w:p>
    <w:p>
      <w:pPr>
        <w:pStyle w:val="ListBullet"/>
        <w:ind w:left="425"/>
      </w:pPr>
    </w:p>
    <w:p>
      <w:pPr>
        <w:pStyle w:val="ListBullet"/>
        <w:ind w:left="425"/>
      </w:pPr>
    </w:p>
    <w:p>
      <w:pPr>
        <w:pStyle w:val="ListBullet"/>
        <w:ind w:left="425"/>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